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2022</w:t>
      </w:r>
      <w:r>
        <w:rPr>
          <w:rFonts w:hint="eastAsia" w:asciiTheme="majorEastAsia" w:hAnsiTheme="majorEastAsia" w:eastAsiaTheme="majorEastAsia" w:cstheme="majorEastAsia"/>
          <w:sz w:val="44"/>
          <w:szCs w:val="44"/>
        </w:rPr>
        <w:t>年</w:t>
      </w:r>
      <w:r>
        <w:rPr>
          <w:rFonts w:hint="eastAsia" w:asciiTheme="majorEastAsia" w:hAnsiTheme="majorEastAsia" w:eastAsiaTheme="majorEastAsia" w:cstheme="majorEastAsia"/>
          <w:sz w:val="44"/>
          <w:szCs w:val="44"/>
          <w:lang w:eastAsia="zh-CN"/>
        </w:rPr>
        <w:t>大祥区医疗保障局</w:t>
      </w:r>
      <w:r>
        <w:rPr>
          <w:rFonts w:hint="eastAsia" w:asciiTheme="majorEastAsia" w:hAnsiTheme="majorEastAsia" w:eastAsiaTheme="majorEastAsia" w:cstheme="majorEastAsia"/>
          <w:sz w:val="44"/>
          <w:szCs w:val="44"/>
        </w:rPr>
        <w:t>部门</w:t>
      </w:r>
      <w:r>
        <w:rPr>
          <w:rFonts w:hint="eastAsia" w:asciiTheme="majorEastAsia" w:hAnsiTheme="majorEastAsia" w:eastAsiaTheme="majorEastAsia" w:cstheme="majorEastAsia"/>
          <w:sz w:val="44"/>
          <w:szCs w:val="44"/>
          <w:lang w:eastAsia="zh-CN"/>
        </w:rPr>
        <w:t>绩效评价</w:t>
      </w:r>
    </w:p>
    <w:p>
      <w:pPr>
        <w:pStyle w:val="3"/>
        <w:keepNext w:val="0"/>
        <w:keepLines w:val="0"/>
        <w:widowControl/>
        <w:suppressLineNumbers w:val="0"/>
        <w:jc w:val="center"/>
        <w:rPr>
          <w:rFonts w:hint="eastAsia" w:asciiTheme="majorEastAsia" w:hAnsiTheme="majorEastAsia" w:eastAsiaTheme="majorEastAsia" w:cstheme="majorEastAsia"/>
          <w:bCs/>
          <w:kern w:val="0"/>
          <w:sz w:val="44"/>
          <w:szCs w:val="44"/>
          <w:lang w:eastAsia="zh-CN"/>
        </w:rPr>
      </w:pPr>
      <w:r>
        <w:rPr>
          <w:rFonts w:hint="eastAsia" w:asciiTheme="majorEastAsia" w:hAnsiTheme="majorEastAsia" w:eastAsiaTheme="majorEastAsia" w:cstheme="majorEastAsia"/>
          <w:lang w:eastAsia="zh-CN"/>
        </w:rPr>
        <w:t>报</w:t>
      </w:r>
      <w:r>
        <w:rPr>
          <w:rFonts w:hint="eastAsia" w:asciiTheme="majorEastAsia" w:hAnsiTheme="majorEastAsia" w:eastAsiaTheme="majorEastAsia" w:cstheme="majorEastAsia"/>
          <w:sz w:val="44"/>
          <w:szCs w:val="44"/>
          <w:lang w:eastAsia="zh-CN"/>
        </w:rPr>
        <w:t>告</w:t>
      </w:r>
    </w:p>
    <w:p>
      <w:pPr>
        <w:pStyle w:val="7"/>
        <w:ind w:firstLine="0" w:firstLineChars="0"/>
        <w:jc w:val="left"/>
        <w:rPr>
          <w:rFonts w:hint="eastAsia" w:ascii="黑体" w:hAnsi="黑体" w:eastAsia="黑体"/>
          <w:sz w:val="32"/>
          <w:szCs w:val="32"/>
          <w:lang w:eastAsia="zh-CN"/>
        </w:rPr>
      </w:pPr>
      <w:r>
        <w:rPr>
          <w:rFonts w:hint="eastAsia" w:ascii="黑体" w:hAnsi="黑体" w:eastAsia="黑体"/>
          <w:sz w:val="32"/>
          <w:szCs w:val="32"/>
          <w:lang w:eastAsia="zh-CN"/>
        </w:rPr>
        <w:t>一、部门简介</w:t>
      </w:r>
    </w:p>
    <w:p>
      <w:pPr>
        <w:widowControl/>
        <w:spacing w:line="60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lang w:eastAsia="zh-CN"/>
        </w:rPr>
        <w:t>（</w:t>
      </w:r>
      <w:r>
        <w:rPr>
          <w:rFonts w:hint="eastAsia" w:ascii="黑体" w:hAnsi="黑体" w:eastAsia="黑体"/>
          <w:bCs/>
          <w:kern w:val="0"/>
          <w:sz w:val="32"/>
          <w:szCs w:val="32"/>
        </w:rPr>
        <w:t>一</w:t>
      </w:r>
      <w:r>
        <w:rPr>
          <w:rFonts w:hint="eastAsia" w:ascii="黑体" w:hAnsi="黑体" w:eastAsia="黑体"/>
          <w:bCs/>
          <w:kern w:val="0"/>
          <w:sz w:val="32"/>
          <w:szCs w:val="32"/>
          <w:lang w:eastAsia="zh-CN"/>
        </w:rPr>
        <w:t>）</w:t>
      </w:r>
      <w:r>
        <w:rPr>
          <w:rFonts w:hint="eastAsia" w:ascii="黑体" w:hAnsi="黑体" w:eastAsia="黑体"/>
          <w:bCs/>
          <w:kern w:val="0"/>
          <w:sz w:val="32"/>
          <w:szCs w:val="32"/>
        </w:rPr>
        <w:t>部门职责</w:t>
      </w:r>
    </w:p>
    <w:p>
      <w:pPr>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lang w:val="en-US" w:eastAsia="zh-CN"/>
        </w:rPr>
        <w:t>1、</w:t>
      </w:r>
      <w:r>
        <w:rPr>
          <w:rFonts w:hint="eastAsia" w:asciiTheme="minorEastAsia" w:hAnsiTheme="minorEastAsia" w:eastAsiaTheme="minorEastAsia" w:cstheme="minorEastAsia"/>
          <w:color w:val="auto"/>
          <w:sz w:val="32"/>
          <w:szCs w:val="32"/>
          <w:shd w:val="clear" w:color="auto" w:fill="FFFFFF"/>
        </w:rPr>
        <w:t>贯彻执行国家、省、市关于医疗保险、生育保险、医疗救助等医疗保障制度的实施。</w:t>
      </w:r>
    </w:p>
    <w:p>
      <w:pPr>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lang w:val="en-US" w:eastAsia="zh-CN"/>
        </w:rPr>
        <w:t>2、</w:t>
      </w:r>
      <w:r>
        <w:rPr>
          <w:rFonts w:hint="eastAsia" w:asciiTheme="minorEastAsia" w:hAnsiTheme="minorEastAsia" w:eastAsiaTheme="minorEastAsia" w:cstheme="minorEastAsia"/>
          <w:color w:val="auto"/>
          <w:sz w:val="32"/>
          <w:szCs w:val="32"/>
          <w:shd w:val="clear" w:color="auto" w:fill="FFFFFF"/>
        </w:rPr>
        <w:t>监督管理相关医疗保险基金。</w:t>
      </w:r>
    </w:p>
    <w:p>
      <w:pPr>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lang w:val="en-US" w:eastAsia="zh-CN"/>
        </w:rPr>
        <w:t>3、</w:t>
      </w:r>
      <w:r>
        <w:rPr>
          <w:rFonts w:hint="eastAsia" w:asciiTheme="minorEastAsia" w:hAnsiTheme="minorEastAsia" w:eastAsiaTheme="minorEastAsia" w:cstheme="minorEastAsia"/>
          <w:color w:val="auto"/>
          <w:sz w:val="32"/>
          <w:szCs w:val="32"/>
          <w:shd w:val="clear" w:color="auto" w:fill="FFFFFF"/>
        </w:rPr>
        <w:t>统筹城乡医疗保险待遇标准。</w:t>
      </w:r>
    </w:p>
    <w:p>
      <w:pPr>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lang w:val="en-US" w:eastAsia="zh-CN"/>
        </w:rPr>
        <w:t>4、</w:t>
      </w:r>
      <w:r>
        <w:rPr>
          <w:rFonts w:hint="eastAsia" w:asciiTheme="minorEastAsia" w:hAnsiTheme="minorEastAsia" w:eastAsiaTheme="minorEastAsia" w:cstheme="minorEastAsia"/>
          <w:color w:val="auto"/>
          <w:sz w:val="32"/>
          <w:szCs w:val="32"/>
          <w:shd w:val="clear" w:color="auto" w:fill="FFFFFF"/>
        </w:rPr>
        <w:t>组织实施全区城乡统一的药品、医用耗材、医疗服务项目和医疗服务设施等医保目录和支付标准以及全区药品、医用耗材价格和医疗服务项目、医疗服务设施收费标准。</w:t>
      </w:r>
      <w:r>
        <w:rPr>
          <w:rFonts w:hint="eastAsia" w:asciiTheme="minorEastAsia" w:hAnsiTheme="minorEastAsia" w:eastAsiaTheme="minorEastAsia" w:cstheme="minorEastAsia"/>
          <w:color w:val="auto"/>
          <w:sz w:val="32"/>
          <w:szCs w:val="32"/>
          <w:shd w:val="clear" w:color="auto" w:fill="FFFFFF"/>
          <w:lang w:val="en-US" w:eastAsia="zh-CN"/>
        </w:rPr>
        <w:t xml:space="preserve">                5、</w:t>
      </w:r>
      <w:r>
        <w:rPr>
          <w:rFonts w:hint="eastAsia" w:asciiTheme="minorEastAsia" w:hAnsiTheme="minorEastAsia" w:eastAsiaTheme="minorEastAsia" w:cstheme="minorEastAsia"/>
          <w:color w:val="auto"/>
          <w:sz w:val="32"/>
          <w:szCs w:val="32"/>
          <w:shd w:val="clear" w:color="auto" w:fill="FFFFFF"/>
        </w:rPr>
        <w:t>贯彻落实国家、省、市药品、医用耗材的招标采购。</w:t>
      </w:r>
    </w:p>
    <w:p>
      <w:pPr>
        <w:ind w:firstLine="640" w:firstLineChars="200"/>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lang w:val="en-US" w:eastAsia="zh-CN"/>
        </w:rPr>
        <w:t>6、</w:t>
      </w:r>
      <w:r>
        <w:rPr>
          <w:rFonts w:hint="eastAsia" w:asciiTheme="minorEastAsia" w:hAnsiTheme="minorEastAsia" w:eastAsiaTheme="minorEastAsia" w:cstheme="minorEastAsia"/>
          <w:color w:val="auto"/>
          <w:sz w:val="32"/>
          <w:szCs w:val="32"/>
          <w:shd w:val="clear" w:color="auto" w:fill="FFFFFF"/>
        </w:rPr>
        <w:t>负责全区医疗保障经办管理、公共服务体系和信息化建设。</w:t>
      </w:r>
    </w:p>
    <w:p>
      <w:pPr>
        <w:widowControl/>
        <w:spacing w:line="600" w:lineRule="exact"/>
        <w:rPr>
          <w:rFonts w:hint="eastAsia" w:asciiTheme="minorEastAsia" w:hAnsiTheme="minorEastAsia" w:eastAsiaTheme="minorEastAsia" w:cstheme="minorEastAsia"/>
          <w:b/>
          <w:bCs w:val="0"/>
          <w:kern w:val="0"/>
          <w:sz w:val="32"/>
          <w:szCs w:val="32"/>
        </w:rPr>
      </w:pPr>
      <w:r>
        <w:rPr>
          <w:rFonts w:hint="eastAsia" w:asciiTheme="minorEastAsia" w:hAnsiTheme="minorEastAsia" w:eastAsiaTheme="minorEastAsia" w:cstheme="minorEastAsia"/>
          <w:b/>
          <w:bCs w:val="0"/>
          <w:kern w:val="0"/>
          <w:sz w:val="32"/>
          <w:szCs w:val="32"/>
          <w:lang w:eastAsia="zh-CN"/>
        </w:rPr>
        <w:t>（二）</w:t>
      </w:r>
      <w:r>
        <w:rPr>
          <w:rFonts w:hint="eastAsia" w:asciiTheme="minorEastAsia" w:hAnsiTheme="minorEastAsia" w:eastAsiaTheme="minorEastAsia" w:cstheme="minorEastAsia"/>
          <w:b/>
          <w:bCs w:val="0"/>
          <w:kern w:val="0"/>
          <w:sz w:val="32"/>
          <w:szCs w:val="32"/>
        </w:rPr>
        <w:t>机构设置及决算单位构成</w:t>
      </w:r>
    </w:p>
    <w:p>
      <w:pPr>
        <w:ind w:firstLine="960" w:firstLineChars="300"/>
        <w:rPr>
          <w:rFonts w:hint="eastAsia" w:asciiTheme="minorEastAsia" w:hAnsiTheme="minorEastAsia" w:eastAsiaTheme="minorEastAsia" w:cstheme="minorEastAsia"/>
          <w:bCs/>
          <w:kern w:val="0"/>
          <w:sz w:val="32"/>
          <w:szCs w:val="32"/>
        </w:rPr>
      </w:pPr>
      <w:r>
        <w:rPr>
          <w:rFonts w:hint="eastAsia" w:asciiTheme="minorEastAsia" w:hAnsiTheme="minorEastAsia" w:eastAsiaTheme="minorEastAsia" w:cstheme="minorEastAsia"/>
          <w:bCs/>
          <w:kern w:val="0"/>
          <w:sz w:val="32"/>
          <w:szCs w:val="32"/>
          <w:lang w:val="en-US" w:eastAsia="zh-CN"/>
        </w:rPr>
        <w:t>1、</w:t>
      </w:r>
      <w:r>
        <w:rPr>
          <w:rFonts w:hint="eastAsia" w:asciiTheme="minorEastAsia" w:hAnsiTheme="minorEastAsia" w:eastAsiaTheme="minorEastAsia" w:cstheme="minorEastAsia"/>
          <w:bCs/>
          <w:kern w:val="0"/>
          <w:sz w:val="32"/>
          <w:szCs w:val="32"/>
        </w:rPr>
        <w:t>内设机构设置。</w:t>
      </w:r>
    </w:p>
    <w:p>
      <w:pPr>
        <w:ind w:firstLine="960" w:firstLineChars="300"/>
        <w:rPr>
          <w:rFonts w:hint="eastAsia" w:ascii="仿宋_GB2312" w:hAnsi="仿宋_GB2312" w:eastAsia="仿宋_GB2312" w:cs="仿宋_GB2312"/>
          <w:color w:val="191919"/>
          <w:sz w:val="32"/>
          <w:szCs w:val="32"/>
          <w:shd w:val="clear" w:color="auto" w:fill="FFFFFF"/>
          <w:lang w:eastAsia="zh-CN"/>
        </w:rPr>
      </w:pPr>
      <w:r>
        <w:rPr>
          <w:rFonts w:hint="eastAsia" w:asciiTheme="minorEastAsia" w:hAnsiTheme="minorEastAsia" w:eastAsiaTheme="minorEastAsia" w:cstheme="minorEastAsia"/>
          <w:color w:val="191919"/>
          <w:sz w:val="32"/>
          <w:szCs w:val="32"/>
          <w:shd w:val="clear" w:color="auto" w:fill="FFFFFF"/>
        </w:rPr>
        <w:t>2019年3月底,大祥区医疗保障局挂牌成立,它将人社部门的城镇职工和城乡居民基本医疗保险、生育保险职责，卫生部门的药品、医用耗材招采职责，发改部门的药品和医疗服务价格管理职责，民政部门的医疗救助职责进行了整合。</w:t>
      </w:r>
      <w:r>
        <w:rPr>
          <w:rFonts w:hint="eastAsia" w:ascii="仿宋_GB2312" w:hAnsi="仿宋_GB2312" w:eastAsia="仿宋_GB2312" w:cs="仿宋_GB2312"/>
          <w:b/>
          <w:bCs/>
          <w:color w:val="191919"/>
          <w:sz w:val="32"/>
          <w:szCs w:val="32"/>
          <w:shd w:val="clear" w:color="auto" w:fill="FFFFFF"/>
          <w:lang w:eastAsia="zh-CN"/>
        </w:rPr>
        <w:t>内设办公室、规划财务和基金监管股、待遇保障和医药服务股。</w:t>
      </w:r>
    </w:p>
    <w:p>
      <w:pPr>
        <w:jc w:val="both"/>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二、财务收支情况说明</w:t>
      </w:r>
    </w:p>
    <w:p>
      <w:pPr>
        <w:widowControl/>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（一）</w:t>
      </w:r>
      <w:r>
        <w:rPr>
          <w:rFonts w:hint="eastAsia" w:asciiTheme="minorEastAsia" w:hAnsiTheme="minorEastAsia" w:eastAsiaTheme="minorEastAsia" w:cstheme="minorEastAsia"/>
          <w:b/>
          <w:sz w:val="28"/>
          <w:szCs w:val="28"/>
        </w:rPr>
        <w:t>收入支出决算总体情况说明</w:t>
      </w:r>
    </w:p>
    <w:p>
      <w:pPr>
        <w:pStyle w:val="2"/>
        <w:ind w:firstLine="640" w:firstLineChars="20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2022年度收、支总计327.74万元。与上一年度相比，收、支总计各减少436.04万元，下降57.09%。主要原因是因为上年度的医疗救助比本年度的支出多，所以导至本年的比上年度的减少。</w:t>
      </w:r>
    </w:p>
    <w:p>
      <w:pPr>
        <w:pStyle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二</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收入决算情况说明</w:t>
      </w:r>
    </w:p>
    <w:p>
      <w:pPr>
        <w:pStyle w:val="2"/>
        <w:ind w:firstLine="640" w:firstLineChars="200"/>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t>2022年度收入合计327.74万元，其中：财政拨款收入229.28万元，占69.96%；上级补助收入0万元，占0%；事业收入0万元，占0%；经营收入0万元，占0%；附属单位上缴收入0万元，占0%；其他收入98.46万元，占30.04%。</w:t>
      </w:r>
    </w:p>
    <w:p>
      <w:pPr>
        <w:pStyle w:val="2"/>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三</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支出决算情况说明</w:t>
      </w:r>
    </w:p>
    <w:p>
      <w:pPr>
        <w:pStyle w:val="2"/>
        <w:ind w:firstLine="640" w:firstLineChars="200"/>
        <w:rPr>
          <w:rFonts w:hint="eastAsia" w:asciiTheme="minorEastAsia" w:hAnsiTheme="minorEastAsia" w:eastAsiaTheme="minorEastAsia" w:cstheme="minorEastAsia"/>
          <w:sz w:val="28"/>
          <w:szCs w:val="28"/>
        </w:rPr>
      </w:pPr>
      <w:r>
        <w:rPr>
          <w:rFonts w:hint="eastAsia" w:ascii="宋体" w:hAnsi="宋体" w:eastAsia="宋体" w:cs="宋体"/>
          <w:i w:val="0"/>
          <w:iCs w:val="0"/>
          <w:caps w:val="0"/>
          <w:color w:val="000000"/>
          <w:spacing w:val="0"/>
          <w:sz w:val="32"/>
          <w:szCs w:val="32"/>
        </w:rPr>
        <w:t>2022年度支出合计327.74万元，其中：基本支出206.29万元，占62.95%；项目支出121.44万元，占37.05%；上缴上级支出0万元，占0%；经营支出0万元，占0%；对附属单位补助支出0万元，占0%。</w:t>
      </w:r>
    </w:p>
    <w:p>
      <w:pPr>
        <w:pStyle w:val="2"/>
        <w:numPr>
          <w:ilvl w:val="0"/>
          <w:numId w:val="0"/>
        </w:numPr>
        <w:spacing w:line="600" w:lineRule="exac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（四）</w:t>
      </w:r>
      <w:r>
        <w:rPr>
          <w:rFonts w:hint="eastAsia" w:asciiTheme="minorEastAsia" w:hAnsiTheme="minorEastAsia" w:eastAsiaTheme="minorEastAsia" w:cstheme="minorEastAsia"/>
          <w:b/>
          <w:bCs/>
          <w:i w:val="0"/>
          <w:caps w:val="0"/>
          <w:color w:val="555555"/>
          <w:spacing w:val="0"/>
          <w:sz w:val="32"/>
          <w:szCs w:val="32"/>
          <w:shd w:val="clear" w:fill="FFFFFF"/>
        </w:rPr>
        <w:t>支出绩效情况</w:t>
      </w:r>
    </w:p>
    <w:p>
      <w:pPr>
        <w:pStyle w:val="2"/>
        <w:numPr>
          <w:ilvl w:val="0"/>
          <w:numId w:val="0"/>
        </w:numPr>
        <w:spacing w:line="600" w:lineRule="exact"/>
        <w:ind w:firstLine="640" w:firstLineChars="200"/>
        <w:rPr>
          <w:rFonts w:hint="eastAsia" w:asciiTheme="minorEastAsia" w:hAnsiTheme="minorEastAsia" w:eastAsiaTheme="minorEastAsia" w:cstheme="minorEastAsia"/>
          <w:b w:val="0"/>
          <w:i w:val="0"/>
          <w:caps w:val="0"/>
          <w:color w:val="auto"/>
          <w:spacing w:val="0"/>
          <w:sz w:val="32"/>
          <w:szCs w:val="32"/>
          <w:shd w:val="clear" w:color="auto" w:fill="FFFFFF"/>
          <w:lang w:val="en-US" w:eastAsia="zh-CN"/>
        </w:rPr>
      </w:pPr>
      <w:r>
        <w:rPr>
          <w:rFonts w:hint="eastAsia" w:asciiTheme="minorEastAsia" w:hAnsiTheme="minorEastAsia" w:eastAsiaTheme="minorEastAsia" w:cstheme="minorEastAsia"/>
          <w:sz w:val="32"/>
          <w:szCs w:val="32"/>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w:t>
      </w:r>
      <w:r>
        <w:rPr>
          <w:rFonts w:hint="eastAsia" w:asciiTheme="minorEastAsia" w:hAnsiTheme="minorEastAsia" w:eastAsiaTheme="minorEastAsia" w:cstheme="minorEastAsia"/>
          <w:b w:val="0"/>
          <w:i w:val="0"/>
          <w:caps w:val="0"/>
          <w:color w:val="555555"/>
          <w:spacing w:val="0"/>
          <w:sz w:val="32"/>
          <w:szCs w:val="32"/>
          <w:shd w:val="clear" w:fill="FFFFFF"/>
        </w:rPr>
        <w:t>益目标。</w:t>
      </w:r>
    </w:p>
    <w:p>
      <w:pPr>
        <w:pStyle w:val="2"/>
        <w:numPr>
          <w:ilvl w:val="0"/>
          <w:numId w:val="0"/>
        </w:numPr>
        <w:spacing w:line="600" w:lineRule="exact"/>
        <w:rPr>
          <w:rFonts w:hint="eastAsia" w:asciiTheme="minorEastAsia" w:hAnsiTheme="minorEastAsia" w:eastAsiaTheme="minorEastAsia" w:cstheme="minorEastAsia"/>
          <w:color w:val="auto"/>
          <w:sz w:val="32"/>
          <w:szCs w:val="32"/>
          <w:lang w:eastAsia="zh-CN"/>
        </w:rPr>
      </w:pPr>
    </w:p>
    <w:p>
      <w:pPr>
        <w:pStyle w:val="2"/>
        <w:numPr>
          <w:ilvl w:val="0"/>
          <w:numId w:val="0"/>
        </w:numPr>
        <w:spacing w:line="600" w:lineRule="exact"/>
        <w:ind w:leftChars="200"/>
        <w:rPr>
          <w:rFonts w:hint="eastAsia" w:asciiTheme="minorEastAsia" w:hAnsiTheme="minorEastAsia" w:eastAsiaTheme="minorEastAsia" w:cstheme="minorEastAsia"/>
          <w:color w:val="auto"/>
          <w:sz w:val="32"/>
          <w:szCs w:val="32"/>
          <w:lang w:eastAsia="zh-CN"/>
        </w:rPr>
      </w:pPr>
    </w:p>
    <w:p>
      <w:pPr>
        <w:pStyle w:val="2"/>
        <w:numPr>
          <w:ilvl w:val="0"/>
          <w:numId w:val="0"/>
        </w:numPr>
        <w:spacing w:line="600" w:lineRule="exact"/>
        <w:ind w:left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eastAsiaTheme="minorEastAsia" w:cstheme="minorEastAsia"/>
          <w:color w:val="auto"/>
          <w:sz w:val="32"/>
          <w:szCs w:val="32"/>
        </w:rPr>
        <w:t>预算绩效情况</w:t>
      </w:r>
    </w:p>
    <w:p>
      <w:pPr>
        <w:autoSpaceDE w:val="0"/>
        <w:autoSpaceDN w:val="0"/>
        <w:adjustRightInd w:val="0"/>
        <w:ind w:firstLine="643"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b/>
          <w:color w:val="000000"/>
          <w:kern w:val="0"/>
          <w:sz w:val="32"/>
          <w:szCs w:val="32"/>
        </w:rPr>
        <w:t>（1）绩效管理评价工作开展情况</w:t>
      </w:r>
      <w:r>
        <w:rPr>
          <w:rFonts w:hint="eastAsia" w:asciiTheme="minorEastAsia" w:hAnsiTheme="minorEastAsia" w:eastAsiaTheme="minorEastAsia" w:cstheme="minorEastAsia"/>
          <w:color w:val="000000"/>
          <w:kern w:val="0"/>
          <w:sz w:val="32"/>
          <w:szCs w:val="32"/>
        </w:rPr>
        <w:t>。</w:t>
      </w:r>
    </w:p>
    <w:p>
      <w:pPr>
        <w:keepNext w:val="0"/>
        <w:keepLines w:val="0"/>
        <w:widowControl/>
        <w:suppressLineNumbers w:val="0"/>
        <w:spacing w:before="0" w:beforeAutospacing="1" w:after="0" w:afterAutospacing="1" w:line="550" w:lineRule="atLeast"/>
        <w:ind w:left="0" w:right="0" w:firstLine="640"/>
        <w:jc w:val="left"/>
        <w:rPr>
          <w:rFonts w:hint="eastAsia" w:asciiTheme="minorEastAsia" w:hAnsiTheme="minorEastAsia" w:eastAsiaTheme="minorEastAsia" w:cstheme="minorEastAsia"/>
          <w:kern w:val="0"/>
          <w:sz w:val="32"/>
          <w:szCs w:val="32"/>
          <w:lang w:val="en-US" w:eastAsia="zh-CN" w:bidi="ar"/>
        </w:rPr>
      </w:pPr>
      <w:r>
        <w:rPr>
          <w:rFonts w:hint="eastAsia" w:asciiTheme="minorEastAsia" w:hAnsiTheme="minorEastAsia" w:eastAsiaTheme="minorEastAsia" w:cstheme="minorEastAsia"/>
          <w:kern w:val="0"/>
          <w:sz w:val="32"/>
          <w:szCs w:val="32"/>
          <w:lang w:val="en-US" w:eastAsia="zh-CN" w:bidi="ar"/>
        </w:rPr>
        <w:t>根据财政预算管理要求，我局对1个项目进行了绩效自评，涉及一般公共预算当年财政拨款10万元，占年初项目预算的7.2%。这个项目是：特殊门诊病种及慢性病门诊医疗评审工作经费10万元。</w:t>
      </w:r>
    </w:p>
    <w:p>
      <w:pPr>
        <w:keepNext w:val="0"/>
        <w:keepLines w:val="0"/>
        <w:widowControl/>
        <w:suppressLineNumbers w:val="0"/>
        <w:spacing w:before="0" w:beforeAutospacing="1" w:after="0" w:afterAutospacing="1"/>
        <w:ind w:left="0" w:right="0"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val="0"/>
          <w:kern w:val="0"/>
          <w:sz w:val="32"/>
          <w:szCs w:val="32"/>
          <w:lang w:val="en-US" w:eastAsia="zh-CN" w:bidi="ar"/>
        </w:rPr>
        <w:t>从评价情况来看，我局认真落实评价工作责任制，指定专人负责评价工作，按评价要求和项目特点选用评价方法和指标体系，项目在实施过程中能做好日常监督检查，项目有关数据资料比较完善,项目支出绩效情况较为理想，达到了项目申请时设定的各项绩效目标，取得了较好的经济效益和社会效益。</w:t>
      </w:r>
    </w:p>
    <w:p>
      <w:pPr>
        <w:autoSpaceDE w:val="0"/>
        <w:autoSpaceDN w:val="0"/>
        <w:adjustRightInd w:val="0"/>
        <w:ind w:firstLine="643" w:firstLineChars="200"/>
        <w:jc w:val="left"/>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（2）部门决算中项目绩效自评结果。</w:t>
      </w:r>
    </w:p>
    <w:p>
      <w:pPr>
        <w:keepNext w:val="0"/>
        <w:keepLines w:val="0"/>
        <w:widowControl/>
        <w:suppressLineNumbers w:val="0"/>
        <w:autoSpaceDE w:val="0"/>
        <w:autoSpaceDN/>
        <w:spacing w:before="0" w:beforeAutospacing="1" w:after="0" w:afterAutospacing="1" w:line="560" w:lineRule="atLeast"/>
        <w:ind w:left="0" w:right="0" w:firstLine="64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bCs w:val="0"/>
          <w:kern w:val="0"/>
          <w:sz w:val="32"/>
          <w:szCs w:val="32"/>
          <w:lang w:val="en-US" w:eastAsia="zh-CN" w:bidi="ar"/>
        </w:rPr>
        <w:t>我局已开展整体支出绩效自评工作，涉及一般公共预算支出</w:t>
      </w:r>
      <w:r>
        <w:rPr>
          <w:rFonts w:hint="eastAsia" w:asciiTheme="minorEastAsia" w:hAnsiTheme="minorEastAsia" w:eastAsiaTheme="minorEastAsia" w:cstheme="minorEastAsia"/>
          <w:sz w:val="32"/>
          <w:szCs w:val="32"/>
          <w:lang w:val="en-US" w:eastAsia="zh-CN"/>
        </w:rPr>
        <w:t>229.28</w:t>
      </w:r>
      <w:r>
        <w:rPr>
          <w:rFonts w:hint="eastAsia" w:asciiTheme="minorEastAsia" w:hAnsiTheme="minorEastAsia" w:eastAsiaTheme="minorEastAsia" w:cstheme="minorEastAsia"/>
          <w:b w:val="0"/>
          <w:bCs w:val="0"/>
          <w:kern w:val="0"/>
          <w:sz w:val="32"/>
          <w:szCs w:val="32"/>
          <w:lang w:val="en-US" w:eastAsia="zh-CN" w:bidi="ar"/>
        </w:rPr>
        <w:t>万元。从评价情况来看，2022年我局履职工作任务目标的实现程度好，社会公众、服务对象满意度高，整体支出绩效评价总体情况较好。</w:t>
      </w:r>
    </w:p>
    <w:p>
      <w:pPr>
        <w:numPr>
          <w:ilvl w:val="0"/>
          <w:numId w:val="1"/>
        </w:numPr>
        <w:autoSpaceDE w:val="0"/>
        <w:autoSpaceDN w:val="0"/>
        <w:adjustRightInd w:val="0"/>
        <w:ind w:firstLine="643" w:firstLineChars="200"/>
        <w:jc w:val="left"/>
        <w:rPr>
          <w:rFonts w:hint="eastAsia" w:asciiTheme="minorEastAsia" w:hAnsiTheme="minorEastAsia" w:eastAsiaTheme="minorEastAsia" w:cstheme="minorEastAsia"/>
          <w:b/>
          <w:color w:val="000000"/>
          <w:kern w:val="0"/>
          <w:sz w:val="32"/>
          <w:szCs w:val="32"/>
        </w:rPr>
      </w:pPr>
      <w:r>
        <w:rPr>
          <w:rFonts w:hint="eastAsia" w:asciiTheme="minorEastAsia" w:hAnsiTheme="minorEastAsia" w:eastAsiaTheme="minorEastAsia" w:cstheme="minorEastAsia"/>
          <w:b/>
          <w:color w:val="000000"/>
          <w:kern w:val="0"/>
          <w:sz w:val="32"/>
          <w:szCs w:val="32"/>
        </w:rPr>
        <w:t>部门评价项目绩效评价结果。</w:t>
      </w:r>
    </w:p>
    <w:p>
      <w:pPr>
        <w:pStyle w:val="2"/>
        <w:rPr>
          <w:rFonts w:hint="eastAsia" w:asciiTheme="minorEastAsia" w:hAnsiTheme="minorEastAsia" w:eastAsiaTheme="minorEastAsia" w:cstheme="minorEastAsia"/>
          <w:sz w:val="32"/>
          <w:szCs w:val="32"/>
        </w:rPr>
      </w:pPr>
    </w:p>
    <w:p>
      <w:pPr>
        <w:pStyle w:val="2"/>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lang w:val="en-US" w:eastAsia="zh-CN" w:bidi="ar"/>
        </w:rPr>
        <w:t>我局对特殊门诊病种及慢性病门诊医疗评审工作经费进行自评得分100分，下一步我局将根据特殊门诊及慢病门诊相关策继续为参保人员的权益作出公平公正的评</w:t>
      </w:r>
      <w:r>
        <w:rPr>
          <w:rFonts w:hint="eastAsia" w:asciiTheme="minorEastAsia" w:hAnsiTheme="minorEastAsia" w:eastAsiaTheme="minorEastAsia" w:cstheme="minorEastAsia"/>
          <w:sz w:val="32"/>
          <w:szCs w:val="32"/>
          <w:lang w:val="en-US" w:eastAsia="zh-CN"/>
        </w:rPr>
        <w:t xml:space="preserve"> 以及结合实际情况向上级汇报在办理评审中碰到的困难，（参保人反映的病种信息偏少），提出相关的建议适当增加特殊门诊及慢性病门诊的病种，以此来达到参保人的满意，让更多有需要的参保人员享受特殊门诊的权益。 </w:t>
      </w:r>
      <w:bookmarkStart w:id="0" w:name="_GoBack"/>
      <w:bookmarkEnd w:id="0"/>
      <w:r>
        <w:rPr>
          <w:rFonts w:hint="eastAsia" w:asciiTheme="minorEastAsia" w:hAnsiTheme="minorEastAsia" w:eastAsiaTheme="minorEastAsia" w:cstheme="minorEastAsia"/>
          <w:sz w:val="32"/>
          <w:szCs w:val="32"/>
          <w:lang w:val="en-US" w:eastAsia="zh-CN"/>
        </w:rPr>
        <w:t xml:space="preserve">  </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Theme="minorEastAsia" w:hAnsiTheme="minorEastAsia" w:eastAsiaTheme="minorEastAsia" w:cstheme="minorEastAsia"/>
          <w:b/>
          <w:bCs/>
          <w:i w:val="0"/>
          <w:caps w:val="0"/>
          <w:color w:val="auto"/>
          <w:spacing w:val="0"/>
          <w:sz w:val="32"/>
          <w:szCs w:val="32"/>
          <w:shd w:val="clear" w:color="auto" w:fill="FFFFFF"/>
          <w:lang w:val="en-US" w:eastAsia="zh-CN"/>
        </w:rPr>
      </w:pPr>
      <w:r>
        <w:rPr>
          <w:rFonts w:hint="eastAsia" w:asciiTheme="minorEastAsia" w:hAnsiTheme="minorEastAsia" w:eastAsiaTheme="minorEastAsia" w:cstheme="minorEastAsia"/>
          <w:b w:val="0"/>
          <w:i w:val="0"/>
          <w:caps w:val="0"/>
          <w:color w:val="auto"/>
          <w:spacing w:val="0"/>
          <w:sz w:val="32"/>
          <w:szCs w:val="32"/>
          <w:shd w:val="clear" w:color="auto"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643" w:firstLineChars="200"/>
        <w:rPr>
          <w:rFonts w:hint="eastAsia" w:asciiTheme="minorEastAsia" w:hAnsiTheme="minorEastAsia" w:eastAsiaTheme="minorEastAsia" w:cstheme="minorEastAsia"/>
          <w:b/>
          <w:bCs/>
          <w:i w:val="0"/>
          <w:caps w:val="0"/>
          <w:color w:val="555555"/>
          <w:spacing w:val="0"/>
          <w:sz w:val="32"/>
          <w:szCs w:val="32"/>
        </w:rPr>
      </w:pPr>
      <w:r>
        <w:rPr>
          <w:rFonts w:hint="eastAsia" w:asciiTheme="minorEastAsia" w:hAnsiTheme="minorEastAsia" w:eastAsiaTheme="minorEastAsia" w:cstheme="minorEastAsia"/>
          <w:b/>
          <w:bCs/>
          <w:i w:val="0"/>
          <w:caps w:val="0"/>
          <w:color w:val="555555"/>
          <w:spacing w:val="0"/>
          <w:sz w:val="32"/>
          <w:szCs w:val="32"/>
          <w:shd w:val="clear" w:fill="FFFFFF"/>
          <w:lang w:eastAsia="zh-CN"/>
        </w:rPr>
        <w:t>四</w:t>
      </w:r>
      <w:r>
        <w:rPr>
          <w:rFonts w:hint="eastAsia" w:asciiTheme="minorEastAsia" w:hAnsiTheme="minorEastAsia" w:eastAsiaTheme="minorEastAsia" w:cstheme="minorEastAsia"/>
          <w:b/>
          <w:bCs/>
          <w:i w:val="0"/>
          <w:caps w:val="0"/>
          <w:color w:val="555555"/>
          <w:spacing w:val="0"/>
          <w:sz w:val="32"/>
          <w:szCs w:val="32"/>
          <w:shd w:val="clear" w:fill="FFFFFF"/>
        </w:rPr>
        <w:t>、评价结论及建议</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val="0"/>
          <w:i w:val="0"/>
          <w:caps w:val="0"/>
          <w:color w:val="555555"/>
          <w:spacing w:val="0"/>
          <w:sz w:val="32"/>
          <w:szCs w:val="32"/>
          <w:shd w:val="clear" w:fill="FFFFFF"/>
        </w:rPr>
        <w:t>　　</w:t>
      </w:r>
      <w:r>
        <w:rPr>
          <w:rFonts w:hint="eastAsia" w:asciiTheme="minorEastAsia" w:hAnsiTheme="minorEastAsia" w:eastAsiaTheme="minorEastAsia" w:cstheme="minorEastAsia"/>
          <w:sz w:val="32"/>
          <w:szCs w:val="32"/>
        </w:rPr>
        <w:t>（一）评价结论</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综上所述，我单位在预算编制、预算执行、支出绩效方面，严格按照规定执行，合理安排支出，使财政资金发挥最大使用效益。</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（二）存在问题</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预算管理和财务管理有待加强，经费核算需进一步完善。在核算过程中部分支出难以区分支出范围，资金使用存在界限不清的现象。</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（三）改进建议</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1、细化预算编制工作，认真做好年初预算编制。进一步加强单位内部各股室的预算管理意识，严格按照预算编制的相关要求进行编制。</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2、加强财务管理，严格财务审核。加强单位财务管理，健全单位财务管理制度体系，规范单位财务行为。在费用报销时，按照预算规定的项目和用途进行资金使用审核、支付及财务核算，预防超支现象的发生。</w:t>
      </w:r>
    </w:p>
    <w:p>
      <w:pPr>
        <w:bidi w:val="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3、加强对相关人员培训，特别是针对《预算法》、《政府会计制度》等方面学习培训，规范部门预算收支核算，切实提高部门预算收支管理水平。</w:t>
      </w:r>
    </w:p>
    <w:p>
      <w:pPr>
        <w:bidi w:val="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04D0FD"/>
    <w:multiLevelType w:val="singleLevel"/>
    <w:tmpl w:val="3604D0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OTY4Njc3MmEyODRlYjZhNTdhODUyYTVlYzg0OWYifQ=="/>
  </w:docVars>
  <w:rsids>
    <w:rsidRoot w:val="6DD74F2C"/>
    <w:rsid w:val="01BE62E9"/>
    <w:rsid w:val="07F720C1"/>
    <w:rsid w:val="0B435B2E"/>
    <w:rsid w:val="11337759"/>
    <w:rsid w:val="12AB52E1"/>
    <w:rsid w:val="1349242C"/>
    <w:rsid w:val="13C37547"/>
    <w:rsid w:val="15361BB8"/>
    <w:rsid w:val="176C46FC"/>
    <w:rsid w:val="17F1593F"/>
    <w:rsid w:val="1BFB4E05"/>
    <w:rsid w:val="1FC336CE"/>
    <w:rsid w:val="27C00D74"/>
    <w:rsid w:val="2A2B4568"/>
    <w:rsid w:val="2BB108F7"/>
    <w:rsid w:val="2F3658BE"/>
    <w:rsid w:val="305A32A3"/>
    <w:rsid w:val="359F01A4"/>
    <w:rsid w:val="36685A8A"/>
    <w:rsid w:val="398E4BEC"/>
    <w:rsid w:val="3AA90ADF"/>
    <w:rsid w:val="3E45617F"/>
    <w:rsid w:val="44063EB5"/>
    <w:rsid w:val="4DBC7217"/>
    <w:rsid w:val="4F0974C1"/>
    <w:rsid w:val="502973E0"/>
    <w:rsid w:val="547B7969"/>
    <w:rsid w:val="57F4104C"/>
    <w:rsid w:val="5AC20AB9"/>
    <w:rsid w:val="5B1F051B"/>
    <w:rsid w:val="5C7508E2"/>
    <w:rsid w:val="5FB7138C"/>
    <w:rsid w:val="61C934F9"/>
    <w:rsid w:val="627B3D15"/>
    <w:rsid w:val="66503610"/>
    <w:rsid w:val="669319E0"/>
    <w:rsid w:val="66F7213F"/>
    <w:rsid w:val="69ED2918"/>
    <w:rsid w:val="69F45CFC"/>
    <w:rsid w:val="6DD74F2C"/>
    <w:rsid w:val="75B0387E"/>
    <w:rsid w:val="77802373"/>
    <w:rsid w:val="78633183"/>
    <w:rsid w:val="7A132D2E"/>
    <w:rsid w:val="7E566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1717</Words>
  <Characters>1819</Characters>
  <Lines>0</Lines>
  <Paragraphs>0</Paragraphs>
  <TotalTime>51</TotalTime>
  <ScaleCrop>false</ScaleCrop>
  <LinksUpToDate>false</LinksUpToDate>
  <CharactersWithSpaces>1860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zyc</cp:lastModifiedBy>
  <dcterms:modified xsi:type="dcterms:W3CDTF">2023-09-03T03:00:46Z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24C52AAECBDB44DBA43DFB0F9BADC784_13</vt:lpwstr>
  </property>
</Properties>
</file>