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51265">
      <w:pPr>
        <w:widowControl w:val="0"/>
        <w:spacing w:line="600" w:lineRule="exact"/>
        <w:jc w:val="center"/>
        <w:rPr>
          <w:rFonts w:hint="eastAsia" w:ascii="黑体" w:hAnsi="黑体" w:eastAsia="黑体" w:cs="黑体"/>
          <w:kern w:val="0"/>
          <w:sz w:val="44"/>
          <w:szCs w:val="44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zh-CN"/>
        </w:rPr>
        <w:t>2023年度</w:t>
      </w:r>
      <w:r>
        <w:rPr>
          <w:rFonts w:hint="eastAsia" w:ascii="黑体" w:hAnsi="黑体" w:eastAsia="黑体" w:cs="黑体"/>
          <w:kern w:val="0"/>
          <w:sz w:val="44"/>
          <w:szCs w:val="44"/>
          <w:lang w:bidi="ar"/>
        </w:rPr>
        <w:t>邵阳市大祥区</w:t>
      </w:r>
      <w:r>
        <w:rPr>
          <w:rFonts w:hint="eastAsia" w:ascii="黑体" w:hAnsi="黑体" w:eastAsia="黑体" w:cs="黑体"/>
          <w:kern w:val="0"/>
          <w:sz w:val="44"/>
          <w:szCs w:val="44"/>
          <w:lang w:eastAsia="zh-CN" w:bidi="ar"/>
        </w:rPr>
        <w:t>中心</w:t>
      </w:r>
      <w:r>
        <w:rPr>
          <w:rFonts w:hint="eastAsia" w:ascii="黑体" w:hAnsi="黑体" w:eastAsia="黑体" w:cs="黑体"/>
          <w:kern w:val="0"/>
          <w:sz w:val="44"/>
          <w:szCs w:val="44"/>
          <w:lang w:bidi="ar"/>
        </w:rPr>
        <w:t>街道办事处</w:t>
      </w:r>
    </w:p>
    <w:p w14:paraId="2621980C">
      <w:pPr>
        <w:widowControl w:val="0"/>
        <w:spacing w:line="600" w:lineRule="exact"/>
        <w:jc w:val="center"/>
        <w:rPr>
          <w:rFonts w:hint="eastAsia" w:ascii="黑体" w:hAnsi="黑体" w:eastAsia="黑体" w:cs="黑体"/>
          <w:b/>
          <w:kern w:val="0"/>
          <w:sz w:val="44"/>
          <w:szCs w:val="44"/>
          <w:highlight w:val="white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zh-CN"/>
        </w:rPr>
        <w:t>部门整体支出绩效评价报告</w:t>
      </w:r>
    </w:p>
    <w:p w14:paraId="09892A7C">
      <w:pPr>
        <w:widowControl w:val="0"/>
        <w:spacing w:line="600" w:lineRule="exact"/>
        <w:ind w:firstLine="643" w:firstLineChars="200"/>
        <w:rPr>
          <w:rFonts w:hint="eastAsia" w:ascii="宋体" w:hAnsi="宋体"/>
          <w:b/>
          <w:kern w:val="0"/>
          <w:sz w:val="32"/>
          <w:szCs w:val="32"/>
          <w:highlight w:val="white"/>
        </w:rPr>
      </w:pPr>
    </w:p>
    <w:p w14:paraId="4385AD73">
      <w:pPr>
        <w:widowControl w:val="0"/>
        <w:spacing w:line="60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  <w:highlight w:val="white"/>
        </w:rPr>
      </w:pPr>
      <w:r>
        <w:rPr>
          <w:rFonts w:hint="eastAsia" w:ascii="黑体" w:hAnsi="黑体" w:eastAsia="黑体"/>
          <w:kern w:val="0"/>
          <w:sz w:val="32"/>
          <w:szCs w:val="32"/>
          <w:highlight w:val="white"/>
        </w:rPr>
        <w:t>一、绩效管理工作开展情况</w:t>
      </w:r>
    </w:p>
    <w:p w14:paraId="0E52B293">
      <w:pPr>
        <w:pStyle w:val="11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为进一步规范财政资金管理，树立预算绩效理念，强化支出责任，提高财政资金使用效益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。根据《中华人民共和国预算法》关于“各级政府、各部门、各单位应当对预算支出情况开展绩效评价”的规定，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结合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街道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具体情况，认真组织开展了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2023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街道办事处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部门预算绩效自评工作，现将我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街道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2023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年度部门整体支出绩效评价情况报告如下：</w:t>
      </w:r>
    </w:p>
    <w:p w14:paraId="094EBEDA">
      <w:pPr>
        <w:widowControl w:val="0"/>
        <w:spacing w:line="60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  <w:highlight w:val="white"/>
        </w:rPr>
      </w:pPr>
      <w:r>
        <w:rPr>
          <w:rFonts w:hint="eastAsia" w:ascii="黑体" w:hAnsi="黑体" w:eastAsia="黑体"/>
          <w:kern w:val="0"/>
          <w:sz w:val="32"/>
          <w:szCs w:val="32"/>
          <w:highlight w:val="white"/>
        </w:rPr>
        <w:t>二、部门整体支出绩效情况</w:t>
      </w:r>
    </w:p>
    <w:p w14:paraId="664A1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2023年，中心街道党工委、办事处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在区委、区政府的正确领导下，高举习近平新时代中国特色社会主义思想伟大旗帜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shd w:val="clear" w:color="auto" w:fill="FFFFFF"/>
          <w:lang w:bidi="ar"/>
        </w:rPr>
        <w:t>全面贯彻落实区委“五城三园三中心”发展战略，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围绕区委、区政府中心工作，进一步创新思路，改善民生，深化改革，优化环境，以打造“宜居宜业家园、文化文明街道、美丽美好城区”为目标，统筹推进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各项重点工作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和经济社会事业全面发展。现将有关情况汇报如下：</w:t>
      </w:r>
    </w:p>
    <w:p w14:paraId="085F3F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工作开展情况</w:t>
      </w:r>
    </w:p>
    <w:p w14:paraId="3CDD42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稳经济，保稳定，社会事业有新发展。</w:t>
      </w:r>
    </w:p>
    <w:p w14:paraId="5BF0D5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bCs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2"/>
          <w:sz w:val="32"/>
          <w:szCs w:val="32"/>
          <w:lang w:val="en-US" w:eastAsia="zh-CN" w:bidi="ar-SA"/>
        </w:rPr>
        <w:t>（1）经济工作稳定发展。</w:t>
      </w:r>
      <w:r>
        <w:rPr>
          <w:rFonts w:hint="eastAsia" w:ascii="仿宋_GB2312" w:hAnsi="Times New Roman" w:eastAsia="仿宋_GB2312" w:cs="Times New Roman"/>
          <w:bCs/>
          <w:snapToGrid w:val="0"/>
          <w:kern w:val="2"/>
          <w:sz w:val="32"/>
          <w:szCs w:val="32"/>
          <w:lang w:val="en-US" w:eastAsia="zh-CN" w:bidi="ar-SA"/>
        </w:rPr>
        <w:t>2023年，建成及在建重点项目工程4个，完成投资6.16亿元，其中：云溪谷、宝庆宋城投资3.31亿元，房地产投资项目大汉天玺1.64亿，卓嵩一城1.21亿元，同比增长30.5%；完成热销零售额为4.25亿元，同比增幅5.82%，完成社销入库任务1个；2月份，宝庆宋城暨六岭公园恢复性建设项目三期建设正式启动。</w:t>
      </w:r>
    </w:p>
    <w:p w14:paraId="197D83E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left="0" w:leftChars="0"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eastAsia="仿宋_GB2312"/>
          <w:b/>
          <w:bCs/>
          <w:snapToGrid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napToGrid w:val="0"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napToGrid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/>
          <w:snapToGrid w:val="0"/>
          <w:sz w:val="32"/>
          <w:szCs w:val="32"/>
        </w:rPr>
        <w:t>社会大局和谐稳定。</w:t>
      </w:r>
      <w:r>
        <w:rPr>
          <w:rFonts w:hint="eastAsia" w:ascii="仿宋_GB2312" w:eastAsia="仿宋_GB2312"/>
          <w:bCs/>
          <w:snapToGrid w:val="0"/>
          <w:sz w:val="32"/>
          <w:szCs w:val="32"/>
          <w:lang w:eastAsia="zh-CN"/>
        </w:rPr>
        <w:t>2023年</w:t>
      </w:r>
      <w:r>
        <w:rPr>
          <w:rFonts w:hint="eastAsia" w:ascii="仿宋_GB2312" w:eastAsia="仿宋_GB2312"/>
          <w:bCs/>
          <w:snapToGrid w:val="0"/>
          <w:sz w:val="32"/>
          <w:szCs w:val="32"/>
        </w:rPr>
        <w:t>，街道狠抓社会治理现代化试点工作，坚持守住底线不放松，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重点工作开展顺利。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防溺水工作：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严格落实巡查，早、中、晚3个时段打卡签到，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深入开展防溺水宣传，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街道74个重点学生明确包保责任人，100%走访到位；沿河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设立3个防溺水救援点，放置救生绳，救生圈，救生棍等救生救援物资，实现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</w:rPr>
        <w:t>零溺亡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目标；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禁毒工作：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中高风险人员管控率、毛发检测率等均达到100%，涉滇涉粤涉毒人员毛发检测率达100%。开展禁毒主题宣传教育活动10次；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反电诈工作：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成功劝返境外涉诈高危人员2人；无边境拦截人员。开展反电诈专题宣教活动10次；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安全生产：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开展敲门行动和专项整治，入户2900多户，检查115家个体户和企业，责令整改50家，简易处罚16家，立案查处5家，罚款2.8万元，开展安全知识培训4次，培训人员600余人；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信访工作：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坚持源头管控，狠抓邮政宝京汇、大汉小学等重点群体稳控，成功化解孙时连、罗秋香、雷茂华等信访积案5起，圆满完成2023年无进京信访工作目标，排名全区前列；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道路交通安全工作：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坚持做好两站两员劝导和道交安APP使用，每月保质保量完成区定任务，无虚假日志。“一带一盔”工作宣传有力，坚持每周上路宣传，全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开展宣传24次，排查道路交通隐患6处并全部整改到位，道路交通安全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工作在区内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排名靠前；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利剑护蕾工作：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认真部署相关工作，组织召开会议15次，联合公安开展重点场所排查36次。召开行业培训会议5次。扎实做好未成年人摸排走访工作，累计走访2000余人，对特殊家庭女童落实“四位一体”制度。</w:t>
      </w:r>
    </w:p>
    <w:p w14:paraId="4F1084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街道以院落联治为抓手，在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省民政厅的指导下，启动院落联治创新实验工作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。实现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街道总揽、全域提升、各方融合的基层治理工作格局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新建小区、两新、离退休等领域党组织8个，完善网格党小组22个，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搭建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社区、网格、院落三层治理体系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。全年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整合资金200余万元，新建、改扩建服务阵地11个，主动摸排建议427个，解决到位396个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20"/>
          <w:lang w:val="en-US" w:eastAsia="zh-CN" w:bidi="ar"/>
        </w:rPr>
        <w:t>联合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20"/>
          <w:lang w:val="en-US" w:eastAsia="zh-CN" w:bidi="ar"/>
        </w:rPr>
        <w:t>50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20"/>
          <w:lang w:val="en-US" w:eastAsia="zh-CN" w:bidi="ar"/>
        </w:rPr>
        <w:t>余个机关企事业单位和服务组织、党员干部、志愿者，先后实施“一老一小关爱”、暑假托管、非遗传承等合作项目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20"/>
          <w:lang w:val="en-US" w:eastAsia="zh-CN" w:bidi="ar"/>
        </w:rPr>
        <w:t>16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20"/>
          <w:lang w:val="en-US" w:eastAsia="zh-CN" w:bidi="ar"/>
        </w:rPr>
        <w:t>个，开展服务近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20"/>
          <w:lang w:val="en-US" w:eastAsia="zh-CN" w:bidi="ar"/>
        </w:rPr>
        <w:t>500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20"/>
          <w:lang w:val="en-US" w:eastAsia="zh-CN" w:bidi="ar"/>
        </w:rPr>
        <w:t>场次，覆盖居民群众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20"/>
          <w:lang w:val="en-US" w:eastAsia="zh-CN" w:bidi="ar"/>
        </w:rPr>
        <w:t>3000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20"/>
          <w:lang w:val="en-US" w:eastAsia="zh-CN" w:bidi="ar"/>
        </w:rPr>
        <w:t>余人，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提高了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基层治理效能和服务群众的水平。</w:t>
      </w:r>
    </w:p>
    <w:p w14:paraId="3D0A4D0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ind w:leftChars="0" w:right="0" w:rightChars="0"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社会事业均衡发展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。统筹推进社会事业，落实为民办实事重点项目工程，全面提升群众幸福指数。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卫健工作：</w:t>
      </w:r>
      <w:r>
        <w:rPr>
          <w:rFonts w:hint="eastAsia" w:ascii="仿宋_GB2312" w:hAnsi="仿宋_GB2312" w:eastAsia="仿宋_GB2312" w:cs="仿宋_GB2312"/>
          <w:sz w:val="32"/>
          <w:szCs w:val="32"/>
        </w:rPr>
        <w:t>精准帮扶计生特殊家庭，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走访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慰问失独家庭31人次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；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管控严重精神障碍患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者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（肇事肇祸）9人，均已入院救治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；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发放控烟禁烟宣传册2300份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社会保障工作：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完成劳动力资源摸底9609人，提供公益性岗位25个，基层公共就业服务平台推荐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2670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次，城镇新增就业人员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成功调解人力劳动仲裁调解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1起</w:t>
      </w:r>
      <w:r>
        <w:rPr>
          <w:rFonts w:hint="eastAsia" w:ascii="仿宋_GB2312" w:hAnsi="仿宋_GB2312" w:eastAsia="仿宋_GB2312" w:cs="仿宋_GB2312"/>
          <w:sz w:val="32"/>
          <w:szCs w:val="32"/>
        </w:rPr>
        <w:t>，查实违规领取社保人员5人；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民政工作：</w:t>
      </w:r>
      <w:r>
        <w:rPr>
          <w:rFonts w:hint="eastAsia" w:ascii="仿宋_GB2312" w:hAnsi="仿宋_GB2312" w:eastAsia="仿宋_GB2312" w:cs="仿宋_GB2312"/>
          <w:sz w:val="32"/>
          <w:szCs w:val="32"/>
        </w:rPr>
        <w:t>扎实推进阳光低保行动，救助困难家庭176户，清退低保家庭145户，新增低保18户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建成大祥区首家残健融合文化示范服务中心，为残疾人提供阅读、绘画、康复训练、心理咨询等服务场所，建成六岭社区大汉天玺小区居家养老服务中心，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8月份正式投入使用；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退役军人工作: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接待来访退伍老兵300余人次，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防汛救灾志愿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80余人次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困难帮扶50余人次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未发生赴省进京上访现象。</w:t>
      </w:r>
    </w:p>
    <w:p w14:paraId="33992F8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left="0" w:leftChars="0" w:firstLine="643" w:firstLineChars="200"/>
        <w:jc w:val="left"/>
        <w:rPr>
          <w:rFonts w:hint="eastAsia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(二）抓整治，强防治，城区环境不断改善</w:t>
      </w:r>
    </w:p>
    <w:p w14:paraId="411463F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围绕创文优环境。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街道全面推进创建全国文明城市建设，一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、二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季度街道创文工作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连续两次</w:t>
      </w:r>
      <w:r>
        <w:rPr>
          <w:rFonts w:hint="eastAsia" w:ascii="仿宋_GB2312" w:hAnsi="仿宋_GB2312" w:eastAsia="仿宋_GB2312" w:cs="仿宋_GB2312"/>
          <w:sz w:val="32"/>
          <w:szCs w:val="32"/>
        </w:rPr>
        <w:t>获评全市第一名。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>建立健全志愿者的招募、注册、培训、激励制度，定期对志愿者进行培训，打造志愿者服务品牌,积极对接市、区社工组织，孵化培育和提高志愿者队伍的服务水平，结合社区实际情况和居民切实需要，全年共开展邵阳红“周末志愿行”活动117次;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依托文化资源打造沙井头路文化长廊；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组织交通劝导志愿队，开展文明交通劝导活动，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沿街环境和经营秩序得到了很大改观。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>街道、社区共投入70多万元进行公益广告宣传，LED屏滚动播放标语500多条次，制作宣传栏80多个，分发宣传资料11000多份，小区楼道累计张贴各种类型公益广告200块。社区上门入户宣传2200多户，入户率达到100%。2023年一、二季度连续两次排名全市第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</w:rPr>
        <w:t>清理“牛皮癣”2万余处，联合红卫派出所办理牛皮癣案件3起。清理卫生死角300余处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50余车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维修疏通下水道、化粪池10余处，宝庆中路，红旗路，中心路，城北路落实上门收垃圾服务工作；拆除存量违章建筑2350㎡，拆除新增违章建筑4处20㎡；排查居民自建房120栋，其中经营性自建房34栋，其中存在安全隐患17栋，拆除17栋；非经营性自建房86栋，存在安全隐患14栋，拆除3栋，关停11栋。排查非自建房802栋，拆除46栋存在安全隐患房屋，封停2栋。</w:t>
      </w:r>
    </w:p>
    <w:p w14:paraId="5E050C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常态长效抓防治。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强化辖区内工地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日常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巡查力度和禁炮工作，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落实蓝天保卫战职责，全年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处理油烟违规排放1起，烧垃圾行为1起，罚款1200元；落实河长制长效机制，落实河长“管、治、保”责任，组织临河三个社区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定期巡查，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对辖区内邵水河沿线生活垃圾、违章建筑、种菜、非法垂钓等方面进行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劝导处置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，发放河长制工作宣传资料3000余份，劝离非法垂钓8次，清理河道沿岸垃圾3车。</w:t>
      </w:r>
    </w:p>
    <w:p w14:paraId="015344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市监消防严落实。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街道开展食品安全专项整治2次，预防野生蘑菇中毒宣传2次，签定不销售野生蘑菇承诺书152份，处理食药投诉案件3件，群众满意率100%，未发生一起食品药品安全事故；成立街道消防所，每季度开展一次消防安全评估会。开展消防安全整治2次，检查115家企业、个体户，责令整改50家。开展安全知识培训4次，培训人员300人次；辖区内食品销售点，全部包保到个人，包保率100%，每季度食品包保督察率100％；开展校外培训机构巡查5次，查处违规培训6起，其中非学科类4起，学科类2起，拆除违规广告38余条，清理非法不合格校外培训机构20家。</w:t>
      </w:r>
    </w:p>
    <w:p w14:paraId="4DB8EB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（三）强党建，重监管，意识形态长抓不懈</w:t>
      </w:r>
    </w:p>
    <w:p w14:paraId="71A5DC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基层党建不断夯实。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开展二十大精神宣讲学习25次，“一月一课一片一实践”中，微党课宣讲20余次，实践活动60余次。拟吸收党员6人。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联合团市委、邵阳职业技术学院等开展“党建联盟”活动70余场次。春节慰问困难党员22人，七一慰问16人。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全面贯彻居民代表联系群众制度，完善“五网四员三机制”，推进千百万工程，对重点人群逐一包保。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完善民情分析机制、民情恳谈等机制，搭建居民议事平台，健全“发现—处置—落实—销号－反馈”五步闭环事务管理模式，进一步推动居民事居民议、居民事居民管，今年共摸排电动车停车、邻里纠纷、活动开展不足等问题52个，现问题已全部解决。隆回、邵东、新宁等县市来街道调研学习。</w:t>
      </w:r>
    </w:p>
    <w:p w14:paraId="553BDF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健全街道总揽、全域提升、各方融合的区域化党建格局，打造“党员共培、产业共育、资源共享、事务共商、工作共推”的城市党建综合体。联合23家联点单位、辖区单位积极落实街道“大工委”制和社区“兼职委员”制，与邵阳学院医学院、邵阳职院团委、市义工联等4个单位党组织结成党建联盟，进一步有效整合资源，实施“菜单式”精准服务，先后实施“一老一小关爱”、暑期托管、非遗传承等合作项目16个，开展服务近500场次。优化居民代表—自治会—网格—社区四级服务响应机制，发现—处置—落实—销号—反馈五步闭环管理模式，树立起居民社区治理的主人翁意识，贯彻落实片、组、邻“三长制”，自行组建“六零管家”“宝庆大叔”等志愿者服务团队40余支，极大激发了居民参与社区治理积极性，基本实现民事民提、民事民议、民事民办。在六岭社区原进出口公司院落的征地问题中，院落自治会成员，老党员刘友清主动站出来组织协调，共同协商确定方案，5天内解决矛盾纠纷。</w:t>
      </w:r>
    </w:p>
    <w:p w14:paraId="2CA4E6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napToGrid w:val="0"/>
          <w:color w:val="auto"/>
          <w:kern w:val="0"/>
          <w:sz w:val="32"/>
          <w:szCs w:val="32"/>
          <w:lang w:val="en-US" w:eastAsia="zh-CN"/>
        </w:rPr>
        <w:t>2）</w:t>
      </w:r>
      <w:r>
        <w:rPr>
          <w:rFonts w:hint="eastAsia" w:ascii="仿宋_GB2312" w:eastAsia="仿宋_GB2312"/>
          <w:b/>
          <w:snapToGrid w:val="0"/>
          <w:color w:val="auto"/>
          <w:kern w:val="0"/>
          <w:sz w:val="32"/>
          <w:szCs w:val="32"/>
        </w:rPr>
        <w:t>从严治党不断深入。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扎实推进“明方向、立规矩、正风气、强免疫”干部队伍作风建设专项活动，开展谈心谈话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，作风督查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次，发督察通报9期，诫勉谈话1人次，通报批评36人次，提醒谈话16人次。“带着板凳进社区”活动，接访群众114人次，收到群众反映业务外问题18件，现场答复6件，转交相关职能部门18件，已全部处置到位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。</w:t>
      </w:r>
    </w:p>
    <w:p w14:paraId="3C313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意识形态不断加强。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落实党管意识形态原则，牢牢把握意识形态工作的领导权主动权，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出台《加强意识形态工作责任规定》，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规范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意识形态工作职责和日常管理。2023年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，召开专题会议2次，中心组集中学习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次，加强学习强国使用督查；同时，抓好舆论引导，强化舆论监管，在市、区媒体发表新闻报导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篇，对一些苗头性问题做到早预见、早发现，对重大事件及突发性问题及时介入，防患未然。2022年全额完成党报党刊发行任务。</w:t>
      </w:r>
    </w:p>
    <w:p w14:paraId="142FC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二、下一步工作计划和打算</w:t>
      </w:r>
    </w:p>
    <w:p w14:paraId="719CAF9A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今年来，街道着重统筹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各项重点工作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和经济社会发展，取得了一些进展。但也存在着一定的困难和问题，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主要表现为：街道刚性支出大、财政十分紧张，信访维稳、环境保护等压力较大，干部工作作风还需改进，工作亮点不多等等。对此，我们将保持清醒认识，采取有力措施，认真加以解决。</w:t>
      </w:r>
    </w:p>
    <w:p w14:paraId="0BF880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 w:bidi="ar"/>
        </w:rPr>
        <w:t>加强政治建设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 w:bidi="ar"/>
        </w:rPr>
        <w:t>强化廉政风险管控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持续巩固主题教育学习成果。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坚持不懈强化理论武装，深入学习习近平新时代中国特色社会主义思想和党的二十大精神，深入开展调查研究，着力提高理论学习的针对性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强化党风廉政监督。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加强廉政风险点管控工作，从财务管理、惠民资金管理等方面健全完善廉政防控体系，实现党风廉政建设风险有效管控。建设好纪检监察队伍，激活社区纪检委员、作风监督志愿者和作风廉情监测点等末梢监督力量，</w:t>
      </w:r>
    </w:p>
    <w:p w14:paraId="089229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bidi="ar"/>
        </w:rPr>
        <w:t>巩固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 w:bidi="ar"/>
        </w:rPr>
        <w:t>思想阵地，强化干部工作能力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建强宣传思想阵地。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旗帜鲜明坚持党管宣传、党管意识形态，养正气、固根本、把方向、强阵地，构建全网域监测、精准化研判、全链条处置、全方位沟通的舆情防范工作机制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加强短板意识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和创新意识。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强化工作督查和制度执行，加强干部学习教育，提升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干部政治理论水平和业务能力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。</w:t>
      </w:r>
    </w:p>
    <w:p w14:paraId="149590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bidi="ar"/>
        </w:rPr>
        <w:t>加强基层治理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 w:bidi="ar"/>
        </w:rPr>
        <w:t>，推动社会治理现代化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bidi="ar"/>
        </w:rPr>
        <w:t>。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积极探索党建引领共建共治共享的社区“大党委”机制和党建综合体，不断深化党建引领基层治理。始终坚持把“人民至上、生命至上”理念作为平安中心、法治中心建设的一项重要工作来抓，凝心聚力、真抓实干，把社会治理“七项重点”工作推上一个新台阶，为街道的经济社会发展创造平安、和谐、法治的社会环境</w:t>
      </w:r>
    </w:p>
    <w:p w14:paraId="5B74AC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4.推动经济发展，做实就业创业服务。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积极落实国家及省市区经济发展政策，加强与相关部门的沟通协调，为街道经济社会发展营造良好的营商环境。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用好就业平台，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 w:bidi="ar"/>
        </w:rPr>
        <w:t>发挥平台作用，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积极引导和鼓励居民参与创新创业活动，提供相关的政策咨询、创业指导，帮助更多的居民实现自主创业和就业；积极开展职业技能培训和就业帮扶活动，提高居民的就业技能和就业竞争力，促进更高质量的就业。同时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 w:bidi="ar"/>
        </w:rPr>
        <w:t>及时了解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企业用工需求，积极推荐和输送合适的劳动力资源，为企业提供稳定人力资源支持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。</w:t>
      </w:r>
    </w:p>
    <w:p w14:paraId="1F66F1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5.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bidi="ar"/>
        </w:rPr>
        <w:t>提升安全意识，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 w:bidi="ar"/>
        </w:rPr>
        <w:t>全力保障社会安定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 w:bidi="ar"/>
        </w:rPr>
        <w:t>持续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开展安全生产大排查大整治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 w:bidi="ar"/>
        </w:rPr>
        <w:t>，加强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建筑安全、消防安全、交通安全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 w:bidi="ar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重点领域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 w:bidi="ar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安全隐患排查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 w:bidi="ar"/>
        </w:rPr>
        <w:t>力度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，发现问题及时整改，确保安全生产形势稳定。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 w:bidi="ar"/>
        </w:rPr>
        <w:t>做好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全域风险排查，加强信访预警研判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及时掌握并解决群众反映的各类问题，确保社会稳定。加强应急管理和救援能力建设。建立健全应急管理和救援体系，加强应急队伍建设，提高应急处置能力，确保在突发事件发生时能够及时响应并有效处置。</w:t>
      </w:r>
    </w:p>
    <w:p w14:paraId="44AA3DBD">
      <w:pPr>
        <w:widowControl w:val="0"/>
        <w:spacing w:line="60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  <w:highlight w:val="white"/>
        </w:rPr>
      </w:pPr>
      <w:r>
        <w:rPr>
          <w:rFonts w:hint="eastAsia" w:ascii="黑体" w:hAnsi="黑体" w:eastAsia="黑体"/>
          <w:kern w:val="0"/>
          <w:sz w:val="32"/>
          <w:szCs w:val="32"/>
          <w:highlight w:val="white"/>
        </w:rPr>
        <w:t>三、部门整体支出绩效评价存在的问题</w:t>
      </w:r>
    </w:p>
    <w:p w14:paraId="18E1DC2A">
      <w:pPr>
        <w:pStyle w:val="11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1、预算编制不够细化。</w:t>
      </w:r>
    </w:p>
    <w:p w14:paraId="21B023DF">
      <w:pPr>
        <w:pStyle w:val="11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</w:rPr>
        <w:t>年中有较多预算追加项目下达至街道，致使街道年初时很难对全年的整体支出规模、范围和进度等进行可靠预估及计划安排。</w:t>
      </w:r>
    </w:p>
    <w:p w14:paraId="35A896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96" w:firstLineChars="249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</w:rPr>
        <w:t>部分专项资金下达时间不明确，导致部分专项资金使用不便，街道综合项目资金缺口加大等问题。</w:t>
      </w:r>
    </w:p>
    <w:p w14:paraId="76AD4041">
      <w:pPr>
        <w:pStyle w:val="11"/>
        <w:spacing w:line="6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sz w:val="32"/>
          <w:szCs w:val="32"/>
        </w:rPr>
        <w:t>街道业务繁杂且应急，预算指标过于精细且分散，严重影响街道使用资金的效率和效益。</w:t>
      </w:r>
    </w:p>
    <w:p w14:paraId="007A5C37">
      <w:pPr>
        <w:widowControl w:val="0"/>
        <w:spacing w:line="60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  <w:highlight w:val="white"/>
        </w:rPr>
      </w:pPr>
      <w:r>
        <w:rPr>
          <w:rFonts w:hint="eastAsia" w:ascii="黑体" w:hAnsi="黑体" w:eastAsia="黑体"/>
          <w:kern w:val="0"/>
          <w:sz w:val="32"/>
          <w:szCs w:val="32"/>
          <w:highlight w:val="white"/>
        </w:rPr>
        <w:t>四、部门整体支出绩效评价提出的改进措施和建议</w:t>
      </w:r>
    </w:p>
    <w:p w14:paraId="2390413A">
      <w:pPr>
        <w:pStyle w:val="11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1、细化预算管理，提升预算编制质量，提高资金使用效益。</w:t>
      </w:r>
    </w:p>
    <w:p w14:paraId="57662296">
      <w:pPr>
        <w:pStyle w:val="11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建议在年初预算安排时，将经常性和可预见性预算追加项目纳入部门年初预算，尽量减少年中预算项目的追加。</w:t>
      </w:r>
    </w:p>
    <w:p w14:paraId="159615BC">
      <w:pPr>
        <w:pStyle w:val="11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、建议专项资金明确下达时间，方便街道使用，缓解街道资金压力。</w:t>
      </w:r>
    </w:p>
    <w:p w14:paraId="1169975E">
      <w:pPr>
        <w:pStyle w:val="11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、建议预算指标在设置时，考虑街道情况，适当将相关指标统</w:t>
      </w:r>
      <w:r>
        <w:rPr>
          <w:rFonts w:hint="eastAsia" w:ascii="仿宋" w:hAnsi="仿宋" w:eastAsia="仿宋"/>
          <w:sz w:val="32"/>
          <w:szCs w:val="32"/>
        </w:rPr>
        <w:t>筹合并。</w:t>
      </w:r>
    </w:p>
    <w:p w14:paraId="3B17F7F7">
      <w:pPr>
        <w:pStyle w:val="11"/>
        <w:spacing w:line="600" w:lineRule="exact"/>
        <w:ind w:firstLine="480" w:firstLineChars="200"/>
      </w:pPr>
    </w:p>
    <w:p w14:paraId="2F027D1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F47625"/>
    <w:multiLevelType w:val="singleLevel"/>
    <w:tmpl w:val="38F4762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ODZhOGQ3YmQ3NjczOTliZjEwZDU2Y2Y5ZTFjZjcifQ=="/>
  </w:docVars>
  <w:rsids>
    <w:rsidRoot w:val="580D1929"/>
    <w:rsid w:val="0E472E19"/>
    <w:rsid w:val="2FA63ADD"/>
    <w:rsid w:val="42A35E4A"/>
    <w:rsid w:val="580D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"/>
    <w:basedOn w:val="1"/>
    <w:next w:val="1"/>
    <w:qFormat/>
    <w:uiPriority w:val="0"/>
    <w:pPr>
      <w:widowControl w:val="0"/>
      <w:jc w:val="both"/>
    </w:pPr>
    <w:rPr>
      <w:rFonts w:ascii="Calibri" w:hAnsi="Calibri" w:cs="Times New Roman"/>
      <w:kern w:val="2"/>
      <w:sz w:val="21"/>
      <w:szCs w:val="2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7">
    <w:name w:val="Body Text First Indent 2"/>
    <w:basedOn w:val="4"/>
    <w:next w:val="1"/>
    <w:qFormat/>
    <w:uiPriority w:val="0"/>
    <w:pPr>
      <w:spacing w:after="0"/>
      <w:ind w:firstLine="420" w:firstLineChars="200"/>
    </w:pPr>
    <w:rPr>
      <w:rFonts w:ascii="Calibri" w:hAnsi="Calibri"/>
    </w:r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5193</Words>
  <Characters>5405</Characters>
  <Lines>0</Lines>
  <Paragraphs>0</Paragraphs>
  <TotalTime>20</TotalTime>
  <ScaleCrop>false</ScaleCrop>
  <LinksUpToDate>false</LinksUpToDate>
  <CharactersWithSpaces>5405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2024-10-16T02:33:00Z</dcterms:created>
  <dc:creator>ASUS</dc:creator>
  <cp:lastModifiedBy>毛毛鱼</cp:lastModifiedBy>
  <dcterms:modified xsi:type="dcterms:W3CDTF">2024-10-17T01:23:52Z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12CEEC1D473B47AB9109E4FB654099CD_11</vt:lpwstr>
  </property>
</Properties>
</file>