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40"/>
        </w:tabs>
        <w:kinsoku/>
        <w:wordWrap/>
        <w:overflowPunct/>
        <w:topLinePunct w:val="0"/>
        <w:autoSpaceDE/>
        <w:autoSpaceDN/>
        <w:bidi w:val="0"/>
        <w:adjustRightInd/>
        <w:snapToGrid/>
        <w:spacing w:line="560" w:lineRule="exact"/>
        <w:jc w:val="left"/>
        <w:textAlignment w:val="auto"/>
        <w:rPr>
          <w:rFonts w:hint="eastAsia" w:ascii="方正小标宋简体" w:eastAsia="方正小标宋简体"/>
          <w:b/>
          <w:sz w:val="44"/>
          <w:szCs w:val="44"/>
          <w:lang w:eastAsia="zh-CN"/>
        </w:rPr>
      </w:pPr>
      <w:r>
        <w:rPr>
          <w:rFonts w:hint="eastAsia" w:ascii="方正小标宋简体" w:eastAsia="方正小标宋简体"/>
          <w:b/>
          <w:sz w:val="44"/>
          <w:szCs w:val="44"/>
          <w:lang w:val="en-US" w:eastAsia="zh-CN"/>
        </w:rPr>
        <w:t>2021</w:t>
      </w:r>
      <w:r>
        <w:rPr>
          <w:rFonts w:hint="eastAsia" w:ascii="方正小标宋简体" w:eastAsia="方正小标宋简体"/>
          <w:b/>
          <w:sz w:val="44"/>
          <w:szCs w:val="44"/>
          <w:lang w:eastAsia="zh-CN"/>
        </w:rPr>
        <w:t>年大祥区妇女儿童健康状况分析报告</w:t>
      </w:r>
    </w:p>
    <w:p>
      <w:pPr>
        <w:keepNext w:val="0"/>
        <w:keepLines w:val="0"/>
        <w:pageBreakBefore w:val="0"/>
        <w:tabs>
          <w:tab w:val="left" w:pos="54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54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rPr>
        <w:t>我中心妇幼健康服务工作在区委、区政府和上级主管部门的正确领导下，认真学习贯彻党的十九大精神，以习近平新时代中国特色社会主义思想为指引，</w:t>
      </w:r>
      <w:r>
        <w:rPr>
          <w:rFonts w:hint="eastAsia" w:ascii="仿宋" w:hAnsi="仿宋" w:eastAsia="仿宋" w:cs="仿宋"/>
          <w:sz w:val="32"/>
          <w:szCs w:val="32"/>
          <w:lang w:eastAsia="zh-CN"/>
        </w:rPr>
        <w:t>面对新型冠状肺炎，</w:t>
      </w:r>
      <w:r>
        <w:rPr>
          <w:rFonts w:hint="eastAsia" w:ascii="仿宋" w:hAnsi="仿宋" w:eastAsia="仿宋" w:cs="仿宋"/>
          <w:sz w:val="32"/>
          <w:szCs w:val="32"/>
        </w:rPr>
        <w:t>紧紧依托《母婴保健法》，坚持</w:t>
      </w:r>
      <w:r>
        <w:rPr>
          <w:rFonts w:hint="eastAsia" w:ascii="仿宋" w:hAnsi="仿宋" w:eastAsia="仿宋" w:cs="仿宋"/>
          <w:sz w:val="32"/>
          <w:szCs w:val="32"/>
          <w:lang w:eastAsia="zh-CN"/>
        </w:rPr>
        <w:t>以孕产妇及</w:t>
      </w:r>
      <w:r>
        <w:rPr>
          <w:rFonts w:hint="eastAsia" w:ascii="仿宋" w:hAnsi="仿宋" w:eastAsia="仿宋" w:cs="仿宋"/>
          <w:sz w:val="32"/>
          <w:szCs w:val="32"/>
          <w:lang w:val="en-US" w:eastAsia="zh-CN"/>
        </w:rPr>
        <w:t>0-6岁</w:t>
      </w:r>
      <w:r>
        <w:rPr>
          <w:rFonts w:hint="eastAsia" w:ascii="仿宋" w:hAnsi="仿宋" w:eastAsia="仿宋" w:cs="仿宋"/>
          <w:sz w:val="32"/>
          <w:szCs w:val="32"/>
          <w:lang w:eastAsia="zh-CN"/>
        </w:rPr>
        <w:t>儿童健康管理</w:t>
      </w:r>
      <w:r>
        <w:rPr>
          <w:rFonts w:hint="eastAsia" w:ascii="仿宋" w:hAnsi="仿宋" w:eastAsia="仿宋" w:cs="仿宋"/>
          <w:sz w:val="32"/>
          <w:szCs w:val="32"/>
        </w:rPr>
        <w:t>为目的，面向基层、面向群体的妇幼卫生工作方针，按照</w:t>
      </w:r>
      <w:r>
        <w:rPr>
          <w:rFonts w:hint="eastAsia" w:ascii="仿宋" w:hAnsi="仿宋" w:eastAsia="仿宋" w:cs="仿宋"/>
          <w:sz w:val="32"/>
          <w:szCs w:val="32"/>
          <w:lang w:val="en-US" w:eastAsia="zh-CN"/>
        </w:rPr>
        <w:t>2021</w:t>
      </w:r>
      <w:r>
        <w:rPr>
          <w:rFonts w:hint="eastAsia" w:ascii="仿宋" w:hAnsi="仿宋" w:eastAsia="仿宋" w:cs="仿宋"/>
          <w:sz w:val="32"/>
          <w:szCs w:val="32"/>
        </w:rPr>
        <w:t>年妇幼工作要求围绕各项工作指标，积极开展妇幼健康服务工作</w:t>
      </w:r>
      <w:r>
        <w:rPr>
          <w:rFonts w:hint="eastAsia" w:ascii="仿宋" w:hAnsi="仿宋" w:eastAsia="仿宋" w:cs="仿宋"/>
          <w:sz w:val="32"/>
          <w:szCs w:val="32"/>
          <w:lang w:eastAsia="zh-CN"/>
        </w:rPr>
        <w:t>，</w:t>
      </w:r>
      <w:r>
        <w:rPr>
          <w:rFonts w:hint="eastAsia" w:ascii="仿宋" w:hAnsi="仿宋" w:eastAsia="仿宋" w:cs="仿宋"/>
          <w:sz w:val="32"/>
          <w:szCs w:val="32"/>
        </w:rPr>
        <w:t>现将</w:t>
      </w:r>
      <w:r>
        <w:rPr>
          <w:rFonts w:hint="eastAsia" w:ascii="仿宋" w:hAnsi="仿宋" w:eastAsia="仿宋" w:cs="仿宋"/>
          <w:sz w:val="32"/>
          <w:szCs w:val="32"/>
          <w:lang w:val="en-US" w:eastAsia="zh-CN"/>
        </w:rPr>
        <w:t>2021年</w:t>
      </w:r>
      <w:r>
        <w:rPr>
          <w:rFonts w:hint="eastAsia" w:ascii="仿宋" w:hAnsi="仿宋" w:eastAsia="仿宋" w:cs="仿宋"/>
          <w:sz w:val="32"/>
          <w:szCs w:val="32"/>
        </w:rPr>
        <w:t>工作</w:t>
      </w:r>
      <w:r>
        <w:rPr>
          <w:rFonts w:hint="eastAsia" w:ascii="仿宋" w:hAnsi="仿宋" w:eastAsia="仿宋" w:cs="仿宋"/>
          <w:sz w:val="32"/>
          <w:szCs w:val="32"/>
          <w:lang w:eastAsia="zh-CN"/>
        </w:rPr>
        <w:t>开展</w:t>
      </w:r>
      <w:r>
        <w:rPr>
          <w:rFonts w:hint="eastAsia" w:ascii="仿宋" w:hAnsi="仿宋" w:eastAsia="仿宋" w:cs="仿宋"/>
          <w:sz w:val="32"/>
          <w:szCs w:val="32"/>
        </w:rPr>
        <w:t>情况总结</w:t>
      </w:r>
      <w:r>
        <w:rPr>
          <w:rFonts w:hint="eastAsia" w:ascii="仿宋" w:hAnsi="仿宋" w:eastAsia="仿宋" w:cs="仿宋"/>
          <w:sz w:val="32"/>
          <w:szCs w:val="32"/>
          <w:lang w:eastAsia="zh-CN"/>
        </w:rPr>
        <w:t>分析</w:t>
      </w:r>
      <w:r>
        <w:rPr>
          <w:rFonts w:hint="eastAsia" w:ascii="仿宋" w:hAnsi="仿宋" w:eastAsia="仿宋" w:cs="仿宋"/>
          <w:sz w:val="32"/>
          <w:szCs w:val="32"/>
        </w:rPr>
        <w:t>如下：</w:t>
      </w:r>
    </w:p>
    <w:p>
      <w:pPr>
        <w:keepNext w:val="0"/>
        <w:keepLines w:val="0"/>
        <w:pageBreakBefore w:val="0"/>
        <w:tabs>
          <w:tab w:val="left" w:pos="540"/>
        </w:tabs>
        <w:kinsoku/>
        <w:wordWrap/>
        <w:overflowPunct/>
        <w:topLinePunct w:val="0"/>
        <w:autoSpaceDE/>
        <w:autoSpaceDN/>
        <w:bidi w:val="0"/>
        <w:adjustRightInd/>
        <w:snapToGrid/>
        <w:spacing w:line="560" w:lineRule="exact"/>
        <w:ind w:firstLine="2249" w:firstLineChars="700"/>
        <w:jc w:val="both"/>
        <w:textAlignment w:val="auto"/>
        <w:rPr>
          <w:rFonts w:hint="eastAsia" w:ascii="仿宋_GB2312" w:hAnsi="仿宋_GB2312" w:eastAsia="仿宋_GB2312" w:cs="仿宋_GB2312"/>
          <w:b/>
          <w:sz w:val="32"/>
          <w:szCs w:val="32"/>
          <w:lang w:val="en-US" w:eastAsia="zh-CN"/>
        </w:rPr>
      </w:pPr>
      <w:r>
        <w:rPr>
          <w:rFonts w:hint="eastAsia" w:asciiTheme="majorEastAsia" w:hAnsiTheme="majorEastAsia" w:eastAsiaTheme="majorEastAsia" w:cstheme="majorEastAsia"/>
          <w:b/>
          <w:sz w:val="32"/>
          <w:szCs w:val="32"/>
          <w:lang w:eastAsia="zh-CN"/>
        </w:rPr>
        <w:t>一、妇女儿童发展状况</w:t>
      </w:r>
    </w:p>
    <w:p>
      <w:pPr>
        <w:keepNext w:val="0"/>
        <w:keepLines w:val="0"/>
        <w:pageBreakBefore w:val="0"/>
        <w:tabs>
          <w:tab w:val="left" w:pos="540"/>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val="en-US" w:eastAsia="zh-CN"/>
        </w:rPr>
        <w:t>2021年全区总人ロ35.21 万人，其中</w:t>
      </w:r>
      <w:r>
        <w:rPr>
          <w:rFonts w:hint="eastAsia" w:ascii="仿宋_GB2312" w:hAnsi="仿宋_GB2312" w:eastAsia="仿宋_GB2312" w:cs="仿宋_GB2312"/>
          <w:sz w:val="32"/>
          <w:szCs w:val="32"/>
          <w:lang w:val="en-US" w:eastAsia="zh-CN"/>
        </w:rPr>
        <w:t>20-64岁妇女数63628人</w:t>
      </w:r>
      <w:r>
        <w:rPr>
          <w:rFonts w:hint="eastAsia" w:ascii="仿宋_GB2312" w:hAnsi="仿宋_GB2312" w:eastAsia="仿宋_GB2312" w:cs="仿宋_GB2312"/>
          <w:spacing w:val="-4"/>
          <w:sz w:val="32"/>
          <w:szCs w:val="32"/>
          <w:lang w:val="en-US" w:eastAsia="zh-CN"/>
        </w:rPr>
        <w:t>，占总人ロ比重18.07％;0-6岁儿童人ロ1.55万人，占总人口比重4.40％，自2018年我区儿童人口不断上升。</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lang w:eastAsia="zh-CN"/>
        </w:rPr>
        <w:t>以保障母婴安全和预防出生缺陷为工作重点，紧紧</w:t>
      </w:r>
      <w:r>
        <w:rPr>
          <w:rFonts w:hint="eastAsia" w:ascii="仿宋_GB2312" w:hAnsi="仿宋_GB2312" w:eastAsia="仿宋_GB2312" w:cs="仿宋_GB2312"/>
          <w:sz w:val="32"/>
          <w:szCs w:val="32"/>
        </w:rPr>
        <w:t>围绕各项工作指标，</w:t>
      </w:r>
      <w:r>
        <w:rPr>
          <w:rFonts w:hint="eastAsia" w:ascii="仿宋_GB2312" w:hAnsi="仿宋_GB2312" w:eastAsia="仿宋_GB2312" w:cs="仿宋_GB2312"/>
          <w:sz w:val="32"/>
          <w:szCs w:val="32"/>
          <w:lang w:eastAsia="zh-CN"/>
        </w:rPr>
        <w:t>整合资源，依法监管，着力提升产科质量，提高妇幼健康服务水平，推动妇幼健康各项工作取得一定成效。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0" w:line="240" w:lineRule="auto"/>
        <w:ind w:right="99" w:rightChars="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（一）主要工作情况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0" w:line="240" w:lineRule="auto"/>
        <w:ind w:right="99" w:rightChars="0"/>
        <w:jc w:val="left"/>
        <w:textAlignment w:val="auto"/>
        <w:rPr>
          <w:rFonts w:hint="eastAsia"/>
          <w:b/>
          <w:bCs/>
          <w:lang w:val="en-US" w:eastAsia="zh-CN"/>
        </w:rPr>
      </w:pPr>
      <w:r>
        <w:rPr>
          <w:rFonts w:hint="eastAsia"/>
          <w:b/>
          <w:bCs/>
          <w:lang w:val="en-US" w:eastAsia="zh-CN"/>
        </w:rPr>
        <w:t>1、基本妇幼健康服务指标</w:t>
      </w:r>
    </w:p>
    <w:p>
      <w:pPr>
        <w:keepNext w:val="0"/>
        <w:keepLines w:val="0"/>
        <w:widowControl/>
        <w:numPr>
          <w:ilvl w:val="0"/>
          <w:numId w:val="0"/>
        </w:numPr>
        <w:suppressLineNumbers w:val="0"/>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（1）2021年全区孕妇1021人，全年产妇数2166人，活产2201人，其中高危孕妇242人，高危产妇数621人，橙色预警及以上32人，孕产妇系统管理人数为2099人</w:t>
      </w:r>
      <w:r>
        <w:rPr>
          <w:rFonts w:hint="eastAsia" w:ascii="仿宋" w:hAnsi="仿宋" w:eastAsia="仿宋" w:cs="仿宋"/>
          <w:sz w:val="32"/>
          <w:szCs w:val="32"/>
          <w:lang w:eastAsia="zh-CN"/>
        </w:rPr>
        <w:t>，孕产妇系统管理率</w:t>
      </w:r>
      <w:r>
        <w:rPr>
          <w:rFonts w:hint="eastAsia" w:ascii="仿宋" w:hAnsi="仿宋" w:eastAsia="仿宋" w:cs="仿宋"/>
          <w:sz w:val="32"/>
          <w:szCs w:val="32"/>
          <w:lang w:val="en-US" w:eastAsia="zh-CN"/>
        </w:rPr>
        <w:t>96.8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7岁以下儿童数15583人，儿童保健健康管理14877人，保健覆盖率95.46%，</w:t>
      </w:r>
      <w:r>
        <w:rPr>
          <w:rFonts w:hint="eastAsia" w:ascii="仿宋" w:hAnsi="仿宋" w:eastAsia="仿宋" w:cs="仿宋"/>
          <w:sz w:val="32"/>
          <w:szCs w:val="32"/>
          <w:lang w:eastAsia="zh-CN"/>
        </w:rPr>
        <w:t>3岁以下儿童数</w:t>
      </w:r>
      <w:r>
        <w:rPr>
          <w:rFonts w:hint="eastAsia" w:ascii="仿宋" w:hAnsi="仿宋" w:eastAsia="仿宋" w:cs="仿宋"/>
          <w:sz w:val="32"/>
          <w:szCs w:val="32"/>
          <w:lang w:val="en-US" w:eastAsia="zh-CN"/>
        </w:rPr>
        <w:t>8630</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3岁以下儿童系统管理人数8235人，</w:t>
      </w:r>
      <w:r>
        <w:rPr>
          <w:rFonts w:hint="eastAsia" w:ascii="仿宋" w:hAnsi="仿宋" w:eastAsia="仿宋" w:cs="仿宋"/>
          <w:sz w:val="32"/>
          <w:szCs w:val="32"/>
          <w:lang w:eastAsia="zh-CN"/>
        </w:rPr>
        <w:t>3岁以下儿童系统管理率</w:t>
      </w:r>
      <w:r>
        <w:rPr>
          <w:rFonts w:hint="eastAsia" w:ascii="仿宋" w:hAnsi="仿宋" w:eastAsia="仿宋" w:cs="仿宋"/>
          <w:sz w:val="32"/>
          <w:szCs w:val="32"/>
          <w:lang w:val="en-US" w:eastAsia="zh-CN"/>
        </w:rPr>
        <w:t>95.42</w:t>
      </w:r>
      <w:r>
        <w:rPr>
          <w:rFonts w:hint="eastAsia" w:ascii="仿宋" w:hAnsi="仿宋" w:eastAsia="仿宋" w:cs="仿宋"/>
          <w:sz w:val="32"/>
          <w:szCs w:val="32"/>
          <w:lang w:eastAsia="zh-CN"/>
        </w:rPr>
        <w:t>％，连续</w:t>
      </w:r>
      <w:r>
        <w:rPr>
          <w:rFonts w:hint="eastAsia" w:ascii="仿宋" w:hAnsi="仿宋" w:eastAsia="仿宋" w:cs="仿宋"/>
          <w:sz w:val="32"/>
          <w:szCs w:val="32"/>
          <w:lang w:val="en-US" w:eastAsia="zh-CN"/>
        </w:rPr>
        <w:t>5年孕产妇死亡率均为0。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0" w:line="240" w:lineRule="auto"/>
        <w:ind w:right="99" w:right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inline distT="0" distB="0" distL="114300" distR="114300">
            <wp:extent cx="5022850" cy="2306320"/>
            <wp:effectExtent l="4445" t="4445" r="20955"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numPr>
          <w:ilvl w:val="0"/>
          <w:numId w:val="1"/>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儿童死亡率指标变化情况</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截止目前，新生儿死亡数</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人，死亡率</w:t>
      </w:r>
      <w:r>
        <w:rPr>
          <w:rFonts w:hint="eastAsia" w:ascii="仿宋" w:hAnsi="仿宋" w:eastAsia="仿宋" w:cs="仿宋"/>
          <w:sz w:val="32"/>
          <w:szCs w:val="32"/>
          <w:lang w:val="en-US" w:eastAsia="zh-CN"/>
        </w:rPr>
        <w:t>0.90‰，</w:t>
      </w:r>
      <w:r>
        <w:rPr>
          <w:rFonts w:hint="eastAsia" w:ascii="仿宋" w:hAnsi="仿宋" w:eastAsia="仿宋" w:cs="仿宋"/>
          <w:sz w:val="32"/>
          <w:szCs w:val="32"/>
          <w:lang w:eastAsia="zh-CN"/>
        </w:rPr>
        <w:t>婴儿死亡</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例，死亡率</w:t>
      </w:r>
      <w:r>
        <w:rPr>
          <w:rFonts w:hint="eastAsia" w:ascii="仿宋" w:hAnsi="仿宋" w:eastAsia="仿宋" w:cs="仿宋"/>
          <w:sz w:val="32"/>
          <w:szCs w:val="32"/>
          <w:lang w:val="en-US" w:eastAsia="zh-CN"/>
        </w:rPr>
        <w:t>2.27</w:t>
      </w:r>
      <w:r>
        <w:rPr>
          <w:rFonts w:hint="eastAsia" w:ascii="仿宋" w:hAnsi="仿宋" w:eastAsia="仿宋" w:cs="仿宋"/>
          <w:sz w:val="32"/>
          <w:szCs w:val="32"/>
          <w:lang w:eastAsia="zh-CN"/>
        </w:rPr>
        <w:t>‰，5岁以下儿童死亡</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例，死亡率</w:t>
      </w:r>
      <w:r>
        <w:rPr>
          <w:rFonts w:hint="eastAsia" w:ascii="仿宋" w:hAnsi="仿宋" w:eastAsia="仿宋" w:cs="仿宋"/>
          <w:sz w:val="32"/>
          <w:szCs w:val="32"/>
          <w:lang w:val="en-US" w:eastAsia="zh-CN"/>
        </w:rPr>
        <w:t>2.72‰。</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eastAsia="zh-CN"/>
        </w:rPr>
      </w:pP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eastAsia="zh-CN"/>
        </w:rPr>
      </w:pPr>
    </w:p>
    <w:p>
      <w:pPr>
        <w:keepNext w:val="0"/>
        <w:keepLines w:val="0"/>
        <w:widowControl/>
        <w:numPr>
          <w:ilvl w:val="0"/>
          <w:numId w:val="0"/>
        </w:numPr>
        <w:suppressLineNumbers w:val="0"/>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孕产妇贫血数</w:t>
      </w:r>
      <w:r>
        <w:rPr>
          <w:rFonts w:hint="eastAsia" w:ascii="仿宋" w:hAnsi="仿宋" w:eastAsia="仿宋" w:cs="仿宋"/>
          <w:sz w:val="32"/>
          <w:szCs w:val="32"/>
          <w:lang w:val="en-US" w:eastAsia="zh-CN"/>
        </w:rPr>
        <w:t>31人，孕产妇贫血患病率1.45%；住院分娩活产数2201人，率为100%；高危孕产妇621人，检出率28.6%；</w:t>
      </w:r>
      <w:r>
        <w:rPr>
          <w:rFonts w:hint="eastAsia" w:ascii="仿宋" w:hAnsi="仿宋" w:eastAsia="仿宋" w:cs="仿宋"/>
          <w:sz w:val="32"/>
          <w:szCs w:val="32"/>
        </w:rPr>
        <w:t>高危住院分娩为</w:t>
      </w:r>
      <w:r>
        <w:rPr>
          <w:rFonts w:hint="eastAsia" w:ascii="仿宋" w:hAnsi="仿宋" w:eastAsia="仿宋" w:cs="仿宋"/>
          <w:sz w:val="32"/>
          <w:szCs w:val="32"/>
          <w:lang w:val="en-US" w:eastAsia="zh-CN"/>
        </w:rPr>
        <w:t>621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率为100%</w:t>
      </w:r>
      <w:r>
        <w:rPr>
          <w:rFonts w:hint="eastAsia" w:ascii="仿宋" w:hAnsi="仿宋" w:eastAsia="仿宋" w:cs="仿宋"/>
          <w:sz w:val="32"/>
          <w:szCs w:val="32"/>
          <w:lang w:eastAsia="zh-CN"/>
        </w:rPr>
        <w:t>，孕产妇死亡</w:t>
      </w:r>
      <w:r>
        <w:rPr>
          <w:rFonts w:hint="eastAsia" w:ascii="仿宋" w:hAnsi="仿宋" w:eastAsia="仿宋" w:cs="仿宋"/>
          <w:sz w:val="32"/>
          <w:szCs w:val="32"/>
          <w:lang w:val="en-US" w:eastAsia="zh-CN"/>
        </w:rPr>
        <w:t>0人，死亡率0。</w:t>
      </w:r>
    </w:p>
    <w:p>
      <w:pPr>
        <w:pStyle w:val="2"/>
        <w:numPr>
          <w:ilvl w:val="0"/>
          <w:numId w:val="0"/>
        </w:numPr>
        <w:rPr>
          <w:rFonts w:hint="eastAsia"/>
          <w:lang w:eastAsia="zh-CN"/>
        </w:rPr>
      </w:pPr>
      <w:r>
        <w:rPr>
          <w:rFonts w:hint="eastAsia"/>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numPr>
          <w:ilvl w:val="0"/>
          <w:numId w:val="2"/>
        </w:numPr>
        <w:suppressLineNumbers w:val="0"/>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5岁以下儿童指标变化</w:t>
      </w:r>
    </w:p>
    <w:p>
      <w:pPr>
        <w:keepNext w:val="0"/>
        <w:keepLines w:val="0"/>
        <w:widowControl/>
        <w:numPr>
          <w:ilvl w:val="0"/>
          <w:numId w:val="0"/>
        </w:numPr>
        <w:suppressLineNumbers w:val="0"/>
        <w:ind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5岁以下儿童生长发育迟缓数15人，生长发育迟缓率0.12%；5岁以下儿童贫血人数 51人，贫血患病率0.45%；出生缺陷发生率9.28</w:t>
      </w:r>
      <w:r>
        <w:rPr>
          <w:rFonts w:hint="eastAsia" w:ascii="微软雅黑" w:hAnsi="微软雅黑" w:eastAsia="微软雅黑" w:cs="微软雅黑"/>
          <w:sz w:val="32"/>
          <w:szCs w:val="32"/>
          <w:lang w:val="en-US" w:eastAsia="zh-CN"/>
        </w:rPr>
        <w:t>‱  。</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0"/>
        </w:numPr>
        <w:spacing w:line="560" w:lineRule="exact"/>
        <w:rPr>
          <w:rFonts w:hint="eastAsia" w:ascii="仿宋_GB2312" w:hAnsi="仿宋_GB2312" w:eastAsia="仿宋_GB2312" w:cs="仿宋_GB2312"/>
          <w:b/>
          <w:sz w:val="32"/>
          <w:szCs w:val="32"/>
          <w:lang w:val="en-US" w:eastAsia="zh-CN"/>
        </w:rPr>
      </w:pPr>
    </w:p>
    <w:p>
      <w:pPr>
        <w:numPr>
          <w:ilvl w:val="0"/>
          <w:numId w:val="0"/>
        </w:numPr>
        <w:spacing w:line="560" w:lineRule="exac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、重点工作指标完成情况</w:t>
      </w:r>
    </w:p>
    <w:p>
      <w:pPr>
        <w:numPr>
          <w:ilvl w:val="0"/>
          <w:numId w:val="0"/>
        </w:numPr>
        <w:spacing w:line="560" w:lineRule="exact"/>
        <w:ind w:firstLine="321" w:firstLineChars="1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（1）产前筛查工作</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已完成产前筛查人数</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人，完成任务</w:t>
      </w:r>
      <w:r>
        <w:rPr>
          <w:rFonts w:hint="eastAsia" w:ascii="仿宋_GB2312" w:hAnsi="仿宋_GB2312" w:eastAsia="仿宋_GB2312" w:cs="仿宋_GB2312"/>
          <w:sz w:val="32"/>
          <w:szCs w:val="32"/>
          <w:lang w:val="en-US" w:eastAsia="zh-CN"/>
        </w:rPr>
        <w:t>103.28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筛查结果为临界风险及高风险孕妇</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例，</w:t>
      </w:r>
      <w:r>
        <w:rPr>
          <w:rFonts w:hint="eastAsia" w:ascii="仿宋_GB2312" w:hAnsi="仿宋_GB2312" w:eastAsia="仿宋_GB2312" w:cs="仿宋_GB2312"/>
          <w:sz w:val="32"/>
          <w:szCs w:val="32"/>
          <w:lang w:eastAsia="zh-CN"/>
        </w:rPr>
        <w:t>全区高危孕妇接受干预诊断率达</w:t>
      </w:r>
      <w:r>
        <w:rPr>
          <w:rFonts w:hint="eastAsia" w:ascii="仿宋_GB2312" w:hAnsi="仿宋_GB2312" w:eastAsia="仿宋_GB2312" w:cs="仿宋_GB2312"/>
          <w:sz w:val="32"/>
          <w:szCs w:val="32"/>
          <w:lang w:val="en-US" w:eastAsia="zh-CN"/>
        </w:rPr>
        <w:t>87.43%以上，高危孕产妇妊娠结局随访率达100%。</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194935" cy="3372485"/>
            <wp:effectExtent l="4445" t="4445" r="20320"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left="0" w:leftChars="0" w:firstLine="0" w:firstLineChars="0"/>
        <w:rPr>
          <w:rFonts w:hint="eastAsia"/>
        </w:rPr>
      </w:pPr>
    </w:p>
    <w:p>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预防艾乙梅母婴传播阻断工作</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孕产妇艾滋病母婴传播率连续三年均为</w:t>
      </w:r>
      <w:r>
        <w:rPr>
          <w:rFonts w:hint="eastAsia" w:ascii="仿宋_GB2312" w:hAnsi="仿宋_GB2312" w:eastAsia="仿宋_GB2312" w:cs="仿宋_GB2312"/>
          <w:sz w:val="32"/>
          <w:szCs w:val="32"/>
          <w:lang w:val="en-US" w:eastAsia="zh-CN"/>
        </w:rPr>
        <w:t>0，2021年全区共有1468名婚检妇女接受了艾乙梅咨询检测服务，辖区内助产机构产妇艾滋病检测人数3969人，检测率100%，</w:t>
      </w:r>
      <w:r>
        <w:rPr>
          <w:rFonts w:hint="eastAsia" w:ascii="仿宋_GB2312" w:hAnsi="仿宋_GB2312" w:eastAsia="仿宋_GB2312" w:cs="仿宋_GB2312"/>
          <w:sz w:val="32"/>
          <w:szCs w:val="32"/>
        </w:rPr>
        <w:t>孕</w:t>
      </w:r>
      <w:r>
        <w:rPr>
          <w:rFonts w:hint="eastAsia" w:ascii="仿宋_GB2312" w:hAnsi="仿宋_GB2312" w:eastAsia="仿宋_GB2312" w:cs="仿宋_GB2312"/>
          <w:sz w:val="32"/>
          <w:szCs w:val="32"/>
          <w:lang w:eastAsia="zh-CN"/>
        </w:rPr>
        <w:t>早期</w:t>
      </w:r>
      <w:r>
        <w:rPr>
          <w:rFonts w:hint="eastAsia" w:ascii="仿宋_GB2312" w:hAnsi="仿宋_GB2312" w:eastAsia="仿宋_GB2312" w:cs="仿宋_GB2312"/>
          <w:sz w:val="32"/>
          <w:szCs w:val="32"/>
        </w:rPr>
        <w:t>检测人数</w:t>
      </w:r>
      <w:r>
        <w:rPr>
          <w:rFonts w:hint="eastAsia" w:ascii="仿宋_GB2312" w:hAnsi="仿宋_GB2312" w:eastAsia="仿宋_GB2312" w:cs="仿宋_GB2312"/>
          <w:sz w:val="32"/>
          <w:szCs w:val="32"/>
          <w:lang w:val="en-US" w:eastAsia="zh-CN"/>
        </w:rPr>
        <w:t xml:space="preserve"> 3416</w:t>
      </w:r>
      <w:r>
        <w:rPr>
          <w:rFonts w:hint="eastAsia" w:ascii="仿宋_GB2312" w:hAnsi="仿宋_GB2312" w:eastAsia="仿宋_GB2312" w:cs="仿宋_GB2312"/>
          <w:sz w:val="32"/>
          <w:szCs w:val="32"/>
        </w:rPr>
        <w:t>人，检测率</w:t>
      </w:r>
      <w:r>
        <w:rPr>
          <w:rFonts w:hint="eastAsia" w:ascii="仿宋_GB2312" w:hAnsi="仿宋_GB2312" w:eastAsia="仿宋_GB2312" w:cs="仿宋_GB2312"/>
          <w:sz w:val="32"/>
          <w:szCs w:val="32"/>
          <w:lang w:val="en-US" w:eastAsia="zh-CN"/>
        </w:rPr>
        <w:t>86.06</w:t>
      </w:r>
      <w:r>
        <w:rPr>
          <w:rFonts w:hint="eastAsia" w:ascii="仿宋_GB2312" w:hAnsi="仿宋_GB2312" w:eastAsia="仿宋_GB2312" w:cs="仿宋_GB2312"/>
          <w:sz w:val="32"/>
          <w:szCs w:val="32"/>
        </w:rPr>
        <w:t>%，发现艾滋病阳性孕产妇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名，梅毒检测人数</w:t>
      </w:r>
      <w:r>
        <w:rPr>
          <w:rFonts w:hint="eastAsia" w:ascii="仿宋_GB2312" w:hAnsi="仿宋_GB2312" w:eastAsia="仿宋_GB2312" w:cs="仿宋_GB2312"/>
          <w:sz w:val="32"/>
          <w:szCs w:val="32"/>
          <w:lang w:val="en-US" w:eastAsia="zh-CN"/>
        </w:rPr>
        <w:t>3969</w:t>
      </w:r>
      <w:r>
        <w:rPr>
          <w:rFonts w:hint="eastAsia" w:ascii="仿宋_GB2312" w:hAnsi="仿宋_GB2312" w:eastAsia="仿宋_GB2312" w:cs="仿宋_GB2312"/>
          <w:sz w:val="32"/>
          <w:szCs w:val="32"/>
        </w:rPr>
        <w:t>人，检测率100%，孕</w:t>
      </w:r>
      <w:r>
        <w:rPr>
          <w:rFonts w:hint="eastAsia" w:ascii="仿宋_GB2312" w:hAnsi="仿宋_GB2312" w:eastAsia="仿宋_GB2312" w:cs="仿宋_GB2312"/>
          <w:sz w:val="32"/>
          <w:szCs w:val="32"/>
          <w:lang w:eastAsia="zh-CN"/>
        </w:rPr>
        <w:t>早期</w:t>
      </w:r>
      <w:r>
        <w:rPr>
          <w:rFonts w:hint="eastAsia" w:ascii="仿宋_GB2312" w:hAnsi="仿宋_GB2312" w:eastAsia="仿宋_GB2312" w:cs="仿宋_GB2312"/>
          <w:sz w:val="32"/>
          <w:szCs w:val="32"/>
        </w:rPr>
        <w:t>检测人数</w:t>
      </w:r>
      <w:r>
        <w:rPr>
          <w:rFonts w:hint="eastAsia" w:ascii="仿宋_GB2312" w:hAnsi="仿宋_GB2312" w:eastAsia="仿宋_GB2312" w:cs="仿宋_GB2312"/>
          <w:sz w:val="32"/>
          <w:szCs w:val="32"/>
          <w:lang w:val="en-US" w:eastAsia="zh-CN"/>
        </w:rPr>
        <w:t>3416</w:t>
      </w:r>
      <w:r>
        <w:rPr>
          <w:rFonts w:hint="eastAsia" w:ascii="仿宋_GB2312" w:hAnsi="仿宋_GB2312" w:eastAsia="仿宋_GB2312" w:cs="仿宋_GB2312"/>
          <w:sz w:val="32"/>
          <w:szCs w:val="32"/>
        </w:rPr>
        <w:t>人，检测率</w:t>
      </w:r>
      <w:r>
        <w:rPr>
          <w:rFonts w:hint="eastAsia" w:ascii="仿宋_GB2312" w:hAnsi="仿宋_GB2312" w:eastAsia="仿宋_GB2312" w:cs="仿宋_GB2312"/>
          <w:sz w:val="32"/>
          <w:szCs w:val="32"/>
          <w:lang w:val="en-US" w:eastAsia="zh-CN"/>
        </w:rPr>
        <w:t>86.06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发现梅毒阳性孕产妇</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名，其中</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名为大祥区户籍孕产妇，已对其所生的儿童进行定期随访；乙肝检测人数</w:t>
      </w:r>
      <w:r>
        <w:rPr>
          <w:rFonts w:hint="eastAsia" w:ascii="仿宋_GB2312" w:hAnsi="仿宋_GB2312" w:eastAsia="仿宋_GB2312" w:cs="仿宋_GB2312"/>
          <w:sz w:val="32"/>
          <w:szCs w:val="32"/>
          <w:lang w:val="en-US" w:eastAsia="zh-CN"/>
        </w:rPr>
        <w:t>3969</w:t>
      </w:r>
      <w:r>
        <w:rPr>
          <w:rFonts w:hint="eastAsia" w:ascii="仿宋_GB2312" w:hAnsi="仿宋_GB2312" w:eastAsia="仿宋_GB2312" w:cs="仿宋_GB2312"/>
          <w:sz w:val="32"/>
          <w:szCs w:val="32"/>
        </w:rPr>
        <w:t>人，检测率100%，孕</w:t>
      </w:r>
      <w:r>
        <w:rPr>
          <w:rFonts w:hint="eastAsia" w:ascii="仿宋_GB2312" w:hAnsi="仿宋_GB2312" w:eastAsia="仿宋_GB2312" w:cs="仿宋_GB2312"/>
          <w:sz w:val="32"/>
          <w:szCs w:val="32"/>
          <w:lang w:eastAsia="zh-CN"/>
        </w:rPr>
        <w:t>早期</w:t>
      </w:r>
      <w:r>
        <w:rPr>
          <w:rFonts w:hint="eastAsia" w:ascii="仿宋_GB2312" w:hAnsi="仿宋_GB2312" w:eastAsia="仿宋_GB2312" w:cs="仿宋_GB2312"/>
          <w:sz w:val="32"/>
          <w:szCs w:val="32"/>
        </w:rPr>
        <w:t>检测人数</w:t>
      </w:r>
      <w:r>
        <w:rPr>
          <w:rFonts w:hint="eastAsia" w:ascii="仿宋_GB2312" w:hAnsi="仿宋_GB2312" w:eastAsia="仿宋_GB2312" w:cs="仿宋_GB2312"/>
          <w:sz w:val="32"/>
          <w:szCs w:val="32"/>
          <w:lang w:val="en-US" w:eastAsia="zh-CN"/>
        </w:rPr>
        <w:t>3416</w:t>
      </w:r>
      <w:r>
        <w:rPr>
          <w:rFonts w:hint="eastAsia" w:ascii="仿宋_GB2312" w:hAnsi="仿宋_GB2312" w:eastAsia="仿宋_GB2312" w:cs="仿宋_GB2312"/>
          <w:sz w:val="32"/>
          <w:szCs w:val="32"/>
        </w:rPr>
        <w:t>人，检测率</w:t>
      </w:r>
      <w:r>
        <w:rPr>
          <w:rFonts w:hint="eastAsia" w:ascii="仿宋_GB2312" w:hAnsi="仿宋_GB2312" w:eastAsia="仿宋_GB2312" w:cs="仿宋_GB2312"/>
          <w:sz w:val="32"/>
          <w:szCs w:val="32"/>
          <w:lang w:val="en-US" w:eastAsia="zh-CN"/>
        </w:rPr>
        <w:t>86.06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乙肝表面抗原阳性孕产妇</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人，已对其所生的儿童进行乙肝高免免费注射。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妇女宫颈癌乳腺癌筛查工作</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辖区适龄妇女宫颈癌应查50170人，实查47616人，筛查率94.91%，宫颈癌及癌前病变检出率284.27/10万，宫颈癌早诊率91.67%，宫颈癌前病变、微小浸润癌及浸润癌治疗人数36人，治疗率100%。乳腺癌应查50170人，实查25311人，筛查率50.45%。乳腺癌检出率11.85/10万，乳腺癌早诊率100%，乳腺癌治疗人数1人，治疗率100%。</w:t>
      </w:r>
    </w:p>
    <w:p>
      <w:pPr>
        <w:pStyle w:val="2"/>
        <w:ind w:left="0" w:leftChars="0" w:firstLine="0" w:firstLineChars="0"/>
        <w:rPr>
          <w:rFonts w:hint="default"/>
          <w:lang w:val="en-US" w:eastAsia="zh-CN"/>
        </w:rPr>
      </w:pPr>
    </w:p>
    <w:p>
      <w:pPr>
        <w:pStyle w:val="2"/>
        <w:numPr>
          <w:ilvl w:val="0"/>
          <w:numId w:val="3"/>
        </w:numPr>
        <w:ind w:left="0" w:leftChars="0" w:firstLine="0" w:firstLineChars="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婚检率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全区婚姻登记1485对，实检1468对，其中男性检查1468例、女性1468例，婚检率98.8%，检出疾病人数133人，占实检人数的4.53%。检出指定性疾病55人，生殖系统疾病77人，严重遗传病1人，尊重受检者意愿1人。对检查出有问题的对象均进行了健康教育和保健指导，并对相关的资料进行整理和分类归档。</w:t>
      </w:r>
    </w:p>
    <w:p>
      <w:pPr>
        <w:pStyle w:val="2"/>
        <w:numPr>
          <w:ilvl w:val="0"/>
          <w:numId w:val="0"/>
        </w:numPr>
        <w:rPr>
          <w:rFonts w:hint="default"/>
          <w:lang w:val="en-US" w:eastAsia="zh-CN"/>
        </w:rPr>
      </w:pPr>
      <w:r>
        <w:rPr>
          <w:rFonts w:hint="default"/>
          <w:lang w:val="en-US" w:eastAsia="zh-CN"/>
        </w:rPr>
        <w:drawing>
          <wp:inline distT="0" distB="0" distL="114300" distR="114300">
            <wp:extent cx="4805680" cy="2364740"/>
            <wp:effectExtent l="5080" t="4445" r="8890"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numPr>
          <w:ilvl w:val="0"/>
          <w:numId w:val="3"/>
        </w:numPr>
        <w:ind w:left="0" w:leftChars="0" w:firstLine="0" w:firstLineChars="0"/>
        <w:rPr>
          <w:rFonts w:hint="default"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产科门诊规范化建设</w:t>
      </w:r>
    </w:p>
    <w:p>
      <w:pPr>
        <w:pStyle w:val="2"/>
        <w:numPr>
          <w:ilvl w:val="0"/>
          <w:numId w:val="0"/>
        </w:numPr>
        <w:ind w:left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根据《邵阳市卫生健康委员会办公室关于印发助产机构产科门诊规范化建设工作实施方案》要求，特制定关于印发《大祥区助产机构产科门诊规范化建设工作实施方案》 ，在2021.7.28召开了2021年大祥区产科门诊规范化建设推进会，2021年9月22日同市卫健委、市妇幼保健院相关人员对大祥区产科门诊规范化建设进行督导，督导结果发送至辖区各助产机构，并进行持续改进。2021年11月2日联同市妇幼保健专家对辖区助产机构进行现场评估，经初步评审3家助产机构均达标。</w:t>
      </w:r>
    </w:p>
    <w:p>
      <w:pPr>
        <w:keepNext w:val="0"/>
        <w:keepLines w:val="0"/>
        <w:pageBreakBefore w:val="0"/>
        <w:kinsoku/>
        <w:wordWrap/>
        <w:overflowPunct/>
        <w:topLinePunct w:val="0"/>
        <w:autoSpaceDE/>
        <w:autoSpaceDN/>
        <w:bidi w:val="0"/>
        <w:adjustRightInd/>
        <w:snapToGrid/>
        <w:spacing w:line="240" w:lineRule="auto"/>
        <w:ind w:firstLine="2570" w:firstLineChars="8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二、存在的主要问题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人员编制极少</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我区现有人口</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5.21</w:t>
      </w:r>
      <w:r>
        <w:rPr>
          <w:rFonts w:hint="eastAsia" w:ascii="仿宋_GB2312" w:hAnsi="仿宋_GB2312" w:eastAsia="仿宋_GB2312" w:cs="仿宋_GB2312"/>
          <w:sz w:val="32"/>
          <w:szCs w:val="32"/>
        </w:rPr>
        <w:t>万，按照湘编办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2号文件要求，县（区）妇幼保健机构人员编制按照服务人口1：1万-1.5万比例配备，我区应配备25-37人，而我中心现仅有在职人员1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名，远远达不到妇女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儿童保健服务的需求，制约了我区妇幼健康的发展。随着上级部门对公共卫生工作的重视，一方面今年我区的妇幼保健工作增加了许多新的工作任务，如</w:t>
      </w:r>
      <w:r>
        <w:rPr>
          <w:rFonts w:hint="eastAsia" w:ascii="仿宋_GB2312" w:hAnsi="仿宋_GB2312" w:eastAsia="仿宋_GB2312" w:cs="仿宋_GB2312"/>
          <w:sz w:val="32"/>
          <w:szCs w:val="32"/>
          <w:lang w:val="en-US" w:eastAsia="zh-CN"/>
        </w:rPr>
        <w:t>12320网络孕妇学校</w:t>
      </w:r>
      <w:r>
        <w:rPr>
          <w:rFonts w:hint="eastAsia" w:ascii="仿宋_GB2312" w:hAnsi="仿宋_GB2312" w:eastAsia="仿宋_GB2312" w:cs="仿宋_GB2312"/>
          <w:sz w:val="32"/>
          <w:szCs w:val="32"/>
          <w:lang w:eastAsia="zh-CN"/>
        </w:rPr>
        <w:t>母婴保健核心知识知晓率调查问卷、</w:t>
      </w:r>
      <w:r>
        <w:rPr>
          <w:rFonts w:hint="eastAsia" w:ascii="仿宋_GB2312" w:hAnsi="仿宋_GB2312" w:eastAsia="仿宋_GB2312" w:cs="仿宋_GB2312"/>
          <w:sz w:val="32"/>
          <w:szCs w:val="32"/>
          <w:lang w:val="en-US" w:eastAsia="zh-CN"/>
        </w:rPr>
        <w:t>产科门诊规范化建设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一方面</w:t>
      </w:r>
      <w:r>
        <w:rPr>
          <w:rFonts w:hint="eastAsia" w:ascii="仿宋_GB2312" w:hAnsi="仿宋_GB2312" w:eastAsia="仿宋_GB2312" w:cs="仿宋_GB2312"/>
          <w:sz w:val="32"/>
          <w:szCs w:val="32"/>
          <w:lang w:eastAsia="zh-CN"/>
        </w:rPr>
        <w:t>受新冠疫情不断更新反扑导致新冠疫情防御工作更加繁重</w:t>
      </w:r>
      <w:r>
        <w:rPr>
          <w:rFonts w:hint="eastAsia" w:ascii="仿宋_GB2312" w:hAnsi="仿宋_GB2312" w:eastAsia="仿宋_GB2312" w:cs="仿宋_GB2312"/>
          <w:sz w:val="32"/>
          <w:szCs w:val="32"/>
        </w:rPr>
        <w:t>等，我们的人员在本来就不够的情况下，更是身兼多职，影响了工作的开展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 xml:space="preserve">2、人口流动性大  </w:t>
      </w:r>
      <w:r>
        <w:rPr>
          <w:rFonts w:hint="eastAsia" w:ascii="仿宋_GB2312" w:hAnsi="仿宋_GB2312" w:eastAsia="仿宋_GB2312" w:cs="仿宋_GB2312"/>
          <w:sz w:val="32"/>
          <w:szCs w:val="32"/>
        </w:rPr>
        <w:t>我区人口</w:t>
      </w:r>
      <w:r>
        <w:rPr>
          <w:rFonts w:hint="eastAsia" w:ascii="仿宋_GB2312" w:hAnsi="仿宋_GB2312" w:eastAsia="仿宋_GB2312" w:cs="仿宋_GB2312"/>
          <w:sz w:val="32"/>
          <w:szCs w:val="32"/>
          <w:lang w:eastAsia="zh-CN"/>
        </w:rPr>
        <w:t>流动性较大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流动人口较多，</w:t>
      </w:r>
      <w:r>
        <w:rPr>
          <w:rFonts w:hint="eastAsia" w:ascii="仿宋_GB2312" w:hAnsi="仿宋_GB2312" w:eastAsia="仿宋_GB2312" w:cs="仿宋_GB2312"/>
          <w:sz w:val="32"/>
          <w:szCs w:val="32"/>
        </w:rPr>
        <w:t>管理难度大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3、基层力量薄弱</w:t>
      </w:r>
      <w:r>
        <w:rPr>
          <w:rFonts w:hint="eastAsia" w:ascii="仿宋_GB2312" w:hAnsi="仿宋_GB2312" w:eastAsia="仿宋_GB2312" w:cs="仿宋_GB2312"/>
          <w:sz w:val="32"/>
          <w:szCs w:val="32"/>
          <w:lang w:val="en-US" w:eastAsia="zh-CN"/>
        </w:rPr>
        <w:t xml:space="preserve">  一是部分基层单位领导对妇幼基本公卫工作不够重视，妇幼保健人员不稳定；有些是身兼多职，人员工作积极性不高；妇幼保健人员业务能力较差，不能较好地掌握相关保健知识；乡镇对村级保健人员的管理不到位；下村指导工作不扎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4、基本公共卫生系统管理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孕产妇保健管理不够规范。个别单位保健人员对《大祥区孕产妇系统保健管理规范》相关职责、知识掌握不熟练，高危追访不到位</w:t>
      </w:r>
      <w:r>
        <w:rPr>
          <w:rFonts w:hint="default" w:ascii="仿宋_GB2312" w:hAnsi="仿宋_GB2312" w:eastAsia="仿宋_GB2312" w:cs="仿宋_GB2312"/>
          <w:sz w:val="32"/>
          <w:szCs w:val="32"/>
          <w:lang w:eastAsia="zh-CN"/>
        </w:rPr>
        <w:t>，未按照基本公共公卫（第三版）产孕期体检</w:t>
      </w:r>
      <w:r>
        <w:rPr>
          <w:rFonts w:hint="eastAsia" w:ascii="仿宋_GB2312" w:hAnsi="仿宋_GB2312" w:eastAsia="仿宋_GB2312" w:cs="仿宋_GB2312"/>
          <w:sz w:val="32"/>
          <w:szCs w:val="32"/>
          <w:lang w:eastAsia="zh-CN"/>
        </w:rPr>
        <w:t>辅助检查内容填写不规范，电子档案有空项、有逻辑错误，血压填写千篇一律，</w:t>
      </w:r>
      <w:r>
        <w:rPr>
          <w:rFonts w:hint="eastAsia" w:ascii="仿宋_GB2312" w:hAnsi="仿宋_GB2312" w:eastAsia="仿宋_GB2312" w:cs="仿宋_GB2312"/>
          <w:sz w:val="32"/>
          <w:szCs w:val="32"/>
          <w:lang w:val="en-US" w:eastAsia="zh-CN"/>
        </w:rPr>
        <w:t>流动人口未在档案中注明。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-6岁儿童保健服务管理工作不够扎实。0-6儿童建档管理人数过少，个别乡镇连儿童基本体检所配备的身高坐高秤和体重秤都缺乏，较多未严格按照公卫规范要求在出院后一周内访视，个别乡镇新生儿家庭访视质量不高、访视率低，存在只是家访，未进行其他保健宣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 xml:space="preserve">5、健康教育服务工作不踏实  </w:t>
      </w:r>
      <w:r>
        <w:rPr>
          <w:rFonts w:hint="eastAsia" w:ascii="仿宋_GB2312" w:hAnsi="仿宋_GB2312" w:eastAsia="仿宋_GB2312" w:cs="仿宋_GB2312"/>
          <w:sz w:val="32"/>
          <w:szCs w:val="32"/>
          <w:lang w:val="en-US" w:eastAsia="zh-CN"/>
        </w:rPr>
        <w:t>缺少专职人员，绝大部分单位是身兼数职，健康教育宣传不到位，母婴核心知识知晓率较低；12320网络孕妇学校宣传人数较少。</w:t>
      </w:r>
    </w:p>
    <w:p>
      <w:pPr>
        <w:keepNext w:val="0"/>
        <w:keepLines w:val="0"/>
        <w:pageBreakBefore w:val="0"/>
        <w:widowControl w:val="0"/>
        <w:kinsoku/>
        <w:wordWrap/>
        <w:overflowPunct/>
        <w:topLinePunct w:val="0"/>
        <w:autoSpaceDE/>
        <w:autoSpaceDN/>
        <w:bidi w:val="0"/>
        <w:adjustRightInd/>
        <w:snapToGrid/>
        <w:spacing w:line="240" w:lineRule="auto"/>
        <w:ind w:firstLine="2570" w:firstLineChars="8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三、下一步工作打算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bCs/>
          <w:sz w:val="32"/>
          <w:szCs w:val="32"/>
          <w:lang w:val="en-US" w:eastAsia="zh-CN"/>
        </w:rPr>
        <w:t>保障母婴健康安全。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落实母婴安全保障制度为重点，推动各助产机构建设规范化的产科门诊，有效提升孕产期保健、高危妊娠管理、孕期健康教育等服务能力，为孕产妇提供优质、高效、安全的健康服务，全力保障母婴安全要加强孕前风险评估、产前风险评估和高危孕产妇专案管理。按照市里下发的两张风险评估表严格评估，健全分级住院分娩机制，加强专业人员培训，不断提高救治能力，坚决守住母婴安全这个底线。今年全区的孕产妇死亡率要坚决控制为零，五岁以下儿童死亡率控制在7‰以内。</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完善妇幼健康服务体系。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启动实施妇幼保健和计划生育保障工程。要抓住机遇，乘势而为，确保项目建设的提质提速。二要创新妇幼健康服务机构内部设置与管理。要严格遵照妇幼健康服务机构建设与管理的两个国家指导性文件规定，牢固树立“大保健”思维和“以妇女儿童健康为中心”的理念，按要求设置孕产保健部、儿童保健部、妇女保健部和计划生育技术服务部四大业务部门规范开展工作，更好为妇女儿童提供生命周期保健服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明确各项工作任务，分责到人。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合实际制定具体目标和政策措施，定期开展督导检查，确保各项任务目标的实现。建立政府领导、部门配合、群众参与的出生缺陷防治机制。加大宣传力度，使对象认识到产前筛查与产前诊断的重要性，完善产前筛查网络。产前筛查目标人群覆盖率达到100%，高风险人群干预诊断率要达到85%，高风险人群妊娠结局随访率要达到95%以上。实行三级预防：提高新生儿疾病筛查率，新生儿疾病筛查率要达到95%。促进患儿早诊早治。创新信息监测，构建以出生人口为基础的出生缺陷监测模式，逐步构建“逢怀孕必检查、逢分娩必诊断、逢缺陷必报送、逢风险必干预”的防治机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妇幼健康服务工作。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color w:val="4A4A4A"/>
          <w:sz w:val="32"/>
          <w:szCs w:val="32"/>
          <w:lang w:val="en-US" w:eastAsia="zh-CN"/>
        </w:rPr>
      </w:pPr>
      <w:r>
        <w:rPr>
          <w:rFonts w:hint="eastAsia" w:ascii="仿宋_GB2312" w:hAnsi="仿宋_GB2312" w:eastAsia="仿宋_GB2312" w:cs="仿宋_GB2312"/>
          <w:b w:val="0"/>
          <w:bCs w:val="0"/>
          <w:sz w:val="32"/>
          <w:szCs w:val="32"/>
          <w:lang w:val="en-US" w:eastAsia="zh-CN"/>
        </w:rPr>
        <w:t>一是要切实加强孕产妇和儿童系统管理。要进一步规范两个系统管理工作，提高基本妇幼保健服务质量孕产妇系统管理率要达90%以上，0-6岁儿童健康管理率95%以上，0-3岁儿童系统管理率90%以上，0-6岁血红蛋白的检查率90%以上。五岁以下儿童死亡率控制在7‰以下，加强对体弱儿、肥胖儿童的指导，减少出生缺陷儿童，提高对高危孕产妇及早产儿、体弱儿、出生缺陷儿的随访与管理工作。二是加大叶酸服用的宣传力度和随访落实工作。三是继续做好免费预防艾滋病、梅毒和乙肝母婴传播项目工作，按照《大祥区预防艾滋病、梅毒和乙肝母婴传播工作实施方案》为孕期妇女免费提供一次艾滋病、梅毒、乙肝检测，孕早期检测率要达到70%以上，干预率要达到95%以上。要加强预防艾滋病、梅毒和乙肝等试剂、药品和疫苗的保管、使用和登记管理。完善登记本内容，落实项目工作的基础登记，理清数据源头，保证数据的准确性。四是加大健康教育的宣传，做好12320网络孕妇学校，提高母婴核心知识知晓率。五是创新计划生育技术服务。认真落实免费计划生育技术服务减少意外怀孕。规范完成手术并发症和病残儿医学鉴定工作，全面实施计划生育爱心助孕特别行动。六是孕前优生健康检查项目。要进一步规范孕前优生健康检查，目标任务覆盖率达100%，早孕随访率100%，妊娠结局随访率100%。</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全面使用母子健康手册。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要求，在全省范围进一步推广使用统一的母子健康手册，根据省市工作要求，一是要建立工作机制。制定实施方案和细则，落实责任分工和要求。二是加大培训和宣传力度。积极开展针对手册发放、使用的专业人员培训；充分利用宣传工具进行宣传发动，提高群众的知晓率。三是建立考核评估机制。将母子健康手册的管理与妇幼重大公共卫生服务及基本公共卫生服务考核相结合。</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做好农村妇女“两癌”检查工作。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继续将农村妇女“两癌”普查工作纳入重点民生实施项目，为顺利完成工作任务，确保工作质量：一是要继续加大宣传力度，要利用各种宣传渠道宣传工作的重要性，扩大影响面，提高适龄妇女的预防意识。二是要加强专业技术人员的培训，提高服务质量。三是加强跟踪随访，使项目工作真正落到实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做好免费产前筛查</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为提高出生人口素质，有效降低出生缺陷发生率，省、市继续将孕产妇免费产前筛查项目纳入重点民生实事项目，并纳入了政府绩效考核和计划生育目标考核双重</w:t>
      </w:r>
      <w:bookmarkStart w:id="0" w:name="_GoBack"/>
      <w:bookmarkEnd w:id="0"/>
      <w:r>
        <w:rPr>
          <w:rFonts w:hint="eastAsia" w:ascii="仿宋_GB2312" w:hAnsi="仿宋_GB2312" w:eastAsia="仿宋_GB2312" w:cs="仿宋_GB2312"/>
          <w:sz w:val="32"/>
          <w:szCs w:val="32"/>
          <w:lang w:val="en-US" w:eastAsia="zh-CN"/>
        </w:rPr>
        <w:t>考核中，我中心将根据项目工作任务按进度开展工作，确保任务的完成。加大产前筛查宣传工作，充分利用宣传栏、发放宣传资料、微信平台等方式，提高群众知晓率，每月根据工作完成情况进行排名和通报。</w:t>
      </w:r>
    </w:p>
    <w:p>
      <w:pPr>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（八）大力开展妇幼保健健康教育与促进</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制定妇幼保健健康教育发展规划，推进妇幼保健健康教育事业。对各乡镇卫生院、社区卫生服务中心的健康教育人员进行系统化、规范化培训，加强孕期健康教育工作，推广标准、规范的健康教育模式，逐步提高我区的健康教育水平。</w:t>
      </w:r>
    </w:p>
    <w:p>
      <w:pPr>
        <w:pStyle w:val="2"/>
        <w:rPr>
          <w:rFonts w:hint="eastAsia"/>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eastAsia="zh-CN"/>
        </w:rPr>
      </w:pPr>
    </w:p>
    <w:p>
      <w:pPr>
        <w:jc w:val="both"/>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附件</w:t>
      </w:r>
      <w:r>
        <w:rPr>
          <w:rFonts w:hint="eastAsia" w:asciiTheme="majorEastAsia" w:hAnsiTheme="majorEastAsia" w:eastAsiaTheme="majorEastAsia" w:cstheme="majorEastAsia"/>
          <w:b/>
          <w:bCs/>
          <w:sz w:val="32"/>
          <w:szCs w:val="32"/>
          <w:lang w:val="en-US" w:eastAsia="zh-CN"/>
        </w:rPr>
        <w:t xml:space="preserve">1 </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2019-2021年辖区各项指标分析表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1410"/>
        <w:gridCol w:w="123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179" w:type="dxa"/>
            <mc:AlternateContent>
              <mc:Choice Requires="wpsCustomData">
                <wpsCustomData:diagonals>
                  <wpsCustomData:diagonal from="30000" to="10000">
                    <wpsCustomData:border w:val="single" w:color="auto" w:sz="4" w:space="0"/>
                  </wpsCustomData:diagonal>
                </wpsCustomData:diagonals>
              </mc:Choice>
            </mc:AlternateContent>
          </w:tcPr>
          <w:p>
            <w:pPr>
              <w:snapToGrid w:val="0"/>
              <w:spacing w:line="240" w:lineRule="auto"/>
              <w:rPr>
                <w:rFonts w:hint="eastAsia" w:asciiTheme="minorEastAsia" w:hAnsiTheme="minorEastAsia" w:eastAsiaTheme="minorEastAsia" w:cstheme="minorEastAsia"/>
                <w:sz w:val="28"/>
                <w:szCs w:val="28"/>
                <w:vertAlign w:val="baseline"/>
                <w:lang w:val="en-US" w:eastAsia="zh-CN"/>
              </w:rPr>
            </w:pPr>
          </w:p>
          <w:p>
            <w:pPr>
              <w:snapToGrid w:val="0"/>
              <w:spacing w:line="240" w:lineRule="auto"/>
              <w:rPr>
                <w:rFonts w:hint="eastAsia" w:asciiTheme="minorEastAsia" w:hAnsiTheme="minorEastAsia" w:eastAsiaTheme="minorEastAsia" w:cstheme="minorEastAsia"/>
                <w:sz w:val="28"/>
                <w:szCs w:val="28"/>
                <w:vertAlign w:val="baseline"/>
                <w:lang w:val="en-US" w:eastAsia="zh-CN"/>
              </w:rPr>
            </w:pPr>
          </w:p>
          <w:p>
            <w:pPr>
              <w:snapToGrid w:val="0"/>
              <w:spacing w:line="240" w:lineRule="auto"/>
              <mc:AlternateContent>
                <mc:Choice Requires="wpsCustomData">
                  <wpsCustomData:diagonalParaType/>
                </mc:Choice>
              </mc:AlternateConten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指  标</w:t>
            </w:r>
          </w:p>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年份</w:t>
            </w:r>
          </w:p>
        </w:tc>
        <w:tc>
          <w:tcPr>
            <w:tcW w:w="1410" w:type="dxa"/>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2019年</w:t>
            </w:r>
          </w:p>
        </w:tc>
        <w:tc>
          <w:tcPr>
            <w:tcW w:w="1230" w:type="dxa"/>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2020年</w:t>
            </w:r>
          </w:p>
        </w:tc>
        <w:tc>
          <w:tcPr>
            <w:tcW w:w="1463" w:type="dxa"/>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孕产妇死亡率（%）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新生儿死亡率（</w:t>
            </w:r>
            <w:r>
              <w:rPr>
                <w:rFonts w:hint="default" w:ascii="Arial" w:hAnsi="Arial" w:cs="Arial" w:eastAsiaTheme="minorEastAsia"/>
                <w:sz w:val="28"/>
                <w:szCs w:val="28"/>
                <w:vertAlign w:val="baseline"/>
                <w:lang w:val="en-US" w:eastAsia="zh-CN"/>
              </w:rPr>
              <w:t>‰</w:t>
            </w:r>
            <w:r>
              <w:rPr>
                <w:rFonts w:hint="eastAsia" w:asciiTheme="minorEastAsia" w:hAnsiTheme="minorEastAsia" w:eastAsiaTheme="minorEastAsia" w:cstheme="minorEastAsia"/>
                <w:sz w:val="28"/>
                <w:szCs w:val="28"/>
                <w:vertAlign w:val="baseline"/>
                <w:lang w:val="en-US" w:eastAsia="zh-CN"/>
              </w:rPr>
              <w:t>）</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0.42</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0.92</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婴儿死亡率（</w:t>
            </w:r>
            <w:r>
              <w:rPr>
                <w:rFonts w:hint="default" w:ascii="Arial" w:hAnsi="Arial" w:cs="Arial" w:eastAsiaTheme="minorEastAsia"/>
                <w:sz w:val="28"/>
                <w:szCs w:val="28"/>
                <w:vertAlign w:val="baseline"/>
                <w:lang w:val="en-US" w:eastAsia="zh-CN"/>
              </w:rPr>
              <w:t>‰</w:t>
            </w:r>
            <w:r>
              <w:rPr>
                <w:rFonts w:hint="eastAsia" w:asciiTheme="minorEastAsia" w:hAnsiTheme="minorEastAsia" w:eastAsiaTheme="minorEastAsia" w:cstheme="minorEastAsia"/>
                <w:sz w:val="28"/>
                <w:szCs w:val="28"/>
                <w:vertAlign w:val="baseline"/>
                <w:lang w:val="en-US" w:eastAsia="zh-CN"/>
              </w:rPr>
              <w:t>）</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1.68</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2.29</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5岁以下儿童死亡率（</w:t>
            </w:r>
            <w:r>
              <w:rPr>
                <w:rFonts w:hint="default" w:ascii="Arial" w:hAnsi="Arial" w:cs="Arial" w:eastAsiaTheme="minorEastAsia"/>
                <w:sz w:val="28"/>
                <w:szCs w:val="28"/>
                <w:vertAlign w:val="baseline"/>
                <w:lang w:val="en-US" w:eastAsia="zh-CN"/>
              </w:rPr>
              <w:t>‰</w:t>
            </w:r>
            <w:r>
              <w:rPr>
                <w:rFonts w:hint="eastAsia" w:asciiTheme="minorEastAsia" w:hAnsiTheme="minorEastAsia" w:eastAsiaTheme="minorEastAsia" w:cstheme="minorEastAsia"/>
                <w:sz w:val="28"/>
                <w:szCs w:val="28"/>
                <w:vertAlign w:val="baseline"/>
                <w:lang w:val="en-US" w:eastAsia="zh-CN"/>
              </w:rPr>
              <w:t>）</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3.79</w:t>
            </w:r>
          </w:p>
        </w:tc>
        <w:tc>
          <w:tcPr>
            <w:tcW w:w="1230" w:type="dxa"/>
          </w:tcPr>
          <w:p>
            <w:pPr>
              <w:rPr>
                <w:rFonts w:hint="default"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3.21</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孕产妇艾滋病母婴传播率（%）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孕产妇系统管理率（%）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95.41</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96.38</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3岁以下儿童系统管理率（%）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95.2</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96.34</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5岁以下儿童生长发育迟缓率（%）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0.06</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0.13</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5岁以下儿童贫血人数率(%)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0.47</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0.47</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出生缺陷发生率（</w:t>
            </w:r>
            <w:r>
              <w:rPr>
                <w:rFonts w:hint="eastAsia" w:ascii="微软雅黑" w:hAnsi="微软雅黑" w:eastAsia="微软雅黑" w:cs="微软雅黑"/>
                <w:sz w:val="28"/>
                <w:szCs w:val="28"/>
                <w:vertAlign w:val="baseline"/>
                <w:lang w:val="en-US" w:eastAsia="zh-CN"/>
              </w:rPr>
              <w:t>‱  ）</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9.34</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9.3</w:t>
            </w:r>
          </w:p>
        </w:tc>
        <w:tc>
          <w:tcPr>
            <w:tcW w:w="1463" w:type="dxa"/>
          </w:tcPr>
          <w:p>
            <w:pPr>
              <w:tabs>
                <w:tab w:val="center" w:pos="623"/>
              </w:tabs>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孕产妇贫血患病率（%）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0.61</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1.02</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9"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产前筛查率（%）</w:t>
            </w:r>
          </w:p>
        </w:tc>
        <w:tc>
          <w:tcPr>
            <w:tcW w:w="141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93</w:t>
            </w:r>
          </w:p>
        </w:tc>
        <w:tc>
          <w:tcPr>
            <w:tcW w:w="1230"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114.4</w:t>
            </w:r>
          </w:p>
        </w:tc>
        <w:tc>
          <w:tcPr>
            <w:tcW w:w="1463" w:type="dxa"/>
          </w:tcPr>
          <w:p>
            <w:pP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103.28</w:t>
            </w:r>
          </w:p>
        </w:tc>
      </w:tr>
    </w:tbl>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sz w:val="32"/>
          <w:szCs w:val="32"/>
          <w:lang w:val="en-US" w:eastAsia="zh-CN"/>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E9AFC"/>
    <w:multiLevelType w:val="singleLevel"/>
    <w:tmpl w:val="92DE9AFC"/>
    <w:lvl w:ilvl="0" w:tentative="0">
      <w:start w:val="3"/>
      <w:numFmt w:val="decimal"/>
      <w:suff w:val="nothing"/>
      <w:lvlText w:val="（%1）"/>
      <w:lvlJc w:val="left"/>
    </w:lvl>
  </w:abstractNum>
  <w:abstractNum w:abstractNumId="1">
    <w:nsid w:val="CAFB177C"/>
    <w:multiLevelType w:val="singleLevel"/>
    <w:tmpl w:val="CAFB177C"/>
    <w:lvl w:ilvl="0" w:tentative="0">
      <w:start w:val="2"/>
      <w:numFmt w:val="decimal"/>
      <w:lvlText w:val="（%1)"/>
      <w:lvlJc w:val="left"/>
      <w:pPr>
        <w:tabs>
          <w:tab w:val="left" w:pos="312"/>
        </w:tabs>
      </w:pPr>
    </w:lvl>
  </w:abstractNum>
  <w:abstractNum w:abstractNumId="2">
    <w:nsid w:val="22C347FD"/>
    <w:multiLevelType w:val="singleLevel"/>
    <w:tmpl w:val="22C347FD"/>
    <w:lvl w:ilvl="0" w:tentative="0">
      <w:start w:val="2"/>
      <w:numFmt w:val="chineseCounting"/>
      <w:suff w:val="nothing"/>
      <w:lvlText w:val="（%1）"/>
      <w:lvlJc w:val="left"/>
      <w:rPr>
        <w:rFonts w:hint="eastAsia"/>
      </w:rPr>
    </w:lvl>
  </w:abstractNum>
  <w:abstractNum w:abstractNumId="3">
    <w:nsid w:val="6151AC8A"/>
    <w:multiLevelType w:val="singleLevel"/>
    <w:tmpl w:val="6151AC8A"/>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jIyMzUzYzc3MTJmYTI0YTJmMmQ3YjQ2YWUxYzEifQ=="/>
  </w:docVars>
  <w:rsids>
    <w:rsidRoot w:val="6C9427AF"/>
    <w:rsid w:val="011654A3"/>
    <w:rsid w:val="320B7166"/>
    <w:rsid w:val="3A4B0773"/>
    <w:rsid w:val="41D53F3B"/>
    <w:rsid w:val="450E6854"/>
    <w:rsid w:val="4B5E10BD"/>
    <w:rsid w:val="50742EC7"/>
    <w:rsid w:val="51190292"/>
    <w:rsid w:val="53E708C5"/>
    <w:rsid w:val="5670347A"/>
    <w:rsid w:val="68B946CD"/>
    <w:rsid w:val="69905DA9"/>
    <w:rsid w:val="6A3526C1"/>
    <w:rsid w:val="6C94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qFormat/>
    <w:uiPriority w:val="1"/>
    <w:pPr>
      <w:spacing w:before="2"/>
      <w:ind w:left="120" w:right="99" w:firstLine="640"/>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all" spc="120" normalizeH="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b="0">
                <a:latin typeface="宋体" panose="02010600030101010101" charset="-122"/>
                <a:ea typeface="宋体" panose="02010600030101010101" charset="-122"/>
                <a:cs typeface="宋体" panose="02010600030101010101" charset="-122"/>
                <a:sym typeface="宋体" panose="02010600030101010101" charset="-122"/>
              </a:rPr>
              <a:t>20</a:t>
            </a:r>
            <a:r>
              <a:rPr lang="en-US" altLang="zh-CN" sz="1400" b="0">
                <a:latin typeface="宋体" panose="02010600030101010101" charset="-122"/>
                <a:ea typeface="宋体" panose="02010600030101010101" charset="-122"/>
                <a:cs typeface="宋体" panose="02010600030101010101" charset="-122"/>
                <a:sym typeface="宋体" panose="02010600030101010101" charset="-122"/>
              </a:rPr>
              <a:t>19</a:t>
            </a:r>
            <a:r>
              <a:rPr sz="1400" b="0">
                <a:latin typeface="宋体" panose="02010600030101010101" charset="-122"/>
                <a:ea typeface="宋体" panose="02010600030101010101" charset="-122"/>
                <a:cs typeface="宋体" panose="02010600030101010101" charset="-122"/>
                <a:sym typeface="宋体" panose="02010600030101010101" charset="-122"/>
              </a:rPr>
              <a:t>-202</a:t>
            </a:r>
            <a:r>
              <a:rPr lang="en-US" altLang="zh-CN" sz="1400" b="0">
                <a:latin typeface="宋体" panose="02010600030101010101" charset="-122"/>
                <a:ea typeface="宋体" panose="02010600030101010101" charset="-122"/>
                <a:cs typeface="宋体" panose="02010600030101010101" charset="-122"/>
                <a:sym typeface="宋体" panose="02010600030101010101" charset="-122"/>
              </a:rPr>
              <a:t>1</a:t>
            </a:r>
            <a:r>
              <a:rPr sz="1400" b="0">
                <a:latin typeface="宋体" panose="02010600030101010101" charset="-122"/>
                <a:ea typeface="宋体" panose="02010600030101010101" charset="-122"/>
                <a:cs typeface="宋体" panose="02010600030101010101" charset="-122"/>
                <a:sym typeface="宋体" panose="02010600030101010101" charset="-122"/>
              </a:rPr>
              <a:t>年孕产妇及</a:t>
            </a:r>
            <a:r>
              <a:rPr lang="en-US" altLang="zh-CN" sz="1400" b="0">
                <a:latin typeface="宋体" panose="02010600030101010101" charset="-122"/>
                <a:ea typeface="宋体" panose="02010600030101010101" charset="-122"/>
                <a:cs typeface="宋体" panose="02010600030101010101" charset="-122"/>
                <a:sym typeface="宋体" panose="02010600030101010101" charset="-122"/>
              </a:rPr>
              <a:t>3</a:t>
            </a:r>
            <a:r>
              <a:rPr altLang="en-US" sz="1400" b="0">
                <a:latin typeface="宋体" panose="02010600030101010101" charset="-122"/>
                <a:ea typeface="宋体" panose="02010600030101010101" charset="-122"/>
                <a:cs typeface="宋体" panose="02010600030101010101" charset="-122"/>
                <a:sym typeface="宋体" panose="02010600030101010101" charset="-122"/>
              </a:rPr>
              <a:t>岁以下儿童</a:t>
            </a:r>
            <a:r>
              <a:rPr sz="1400" b="0">
                <a:latin typeface="宋体" panose="02010600030101010101" charset="-122"/>
                <a:ea typeface="宋体" panose="02010600030101010101" charset="-122"/>
                <a:cs typeface="宋体" panose="02010600030101010101" charset="-122"/>
                <a:sym typeface="宋体" panose="02010600030101010101" charset="-122"/>
              </a:rPr>
              <a:t>指标变化</a:t>
            </a:r>
            <a:endParaRPr sz="1400" b="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164125"/>
          <c:y val="0.0175"/>
        </c:manualLayout>
      </c:layout>
      <c:overlay val="0"/>
      <c:spPr>
        <a:noFill/>
        <a:ln>
          <a:noFill/>
        </a:ln>
        <a:effectLst/>
      </c:spPr>
    </c:title>
    <c:autoTitleDeleted val="0"/>
    <c:plotArea>
      <c:layout/>
      <c:lineChart>
        <c:grouping val="standard"/>
        <c:varyColors val="0"/>
        <c:ser>
          <c:idx val="0"/>
          <c:order val="0"/>
          <c:tx>
            <c:strRef>
              <c:f>Sheet1!$B$1</c:f>
              <c:strCache>
                <c:ptCount val="1"/>
                <c:pt idx="0">
                  <c:v>孕产妇系统管理率（%）</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Sheet1!$A$2:$A$4</c:f>
              <c:strCache>
                <c:ptCount val="3"/>
                <c:pt idx="0">
                  <c:v>2019年</c:v>
                </c:pt>
                <c:pt idx="1">
                  <c:v>2020年</c:v>
                </c:pt>
                <c:pt idx="2">
                  <c:v>2021年</c:v>
                </c:pt>
              </c:strCache>
            </c:strRef>
          </c:cat>
          <c:val>
            <c:numRef>
              <c:f>Sheet1!$B$2:$B$4</c:f>
              <c:numCache>
                <c:formatCode>General</c:formatCode>
                <c:ptCount val="3"/>
                <c:pt idx="0">
                  <c:v>95.41</c:v>
                </c:pt>
                <c:pt idx="1">
                  <c:v>96.38</c:v>
                </c:pt>
                <c:pt idx="2">
                  <c:v>96.8</c:v>
                </c:pt>
              </c:numCache>
            </c:numRef>
          </c:val>
          <c:smooth val="0"/>
        </c:ser>
        <c:ser>
          <c:idx val="1"/>
          <c:order val="1"/>
          <c:tx>
            <c:strRef>
              <c:f>Sheet1!$C$1</c:f>
              <c:strCache>
                <c:ptCount val="1"/>
                <c:pt idx="0">
                  <c:v>3岁以下儿童系统管理率（%）</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Sheet1!$A$2:$A$4</c:f>
              <c:strCache>
                <c:ptCount val="3"/>
                <c:pt idx="0">
                  <c:v>2019年</c:v>
                </c:pt>
                <c:pt idx="1">
                  <c:v>2020年</c:v>
                </c:pt>
                <c:pt idx="2">
                  <c:v>2021年</c:v>
                </c:pt>
              </c:strCache>
            </c:strRef>
          </c:cat>
          <c:val>
            <c:numRef>
              <c:f>Sheet1!$C$2:$C$4</c:f>
              <c:numCache>
                <c:formatCode>General</c:formatCode>
                <c:ptCount val="3"/>
                <c:pt idx="0">
                  <c:v>95.2</c:v>
                </c:pt>
                <c:pt idx="1">
                  <c:v>96.34</c:v>
                </c:pt>
                <c:pt idx="2">
                  <c:v>95.42</c:v>
                </c:pt>
              </c:numCache>
            </c:numRef>
          </c:val>
          <c:smooth val="0"/>
        </c:ser>
        <c:ser>
          <c:idx val="2"/>
          <c:order val="2"/>
          <c:tx>
            <c:strRef>
              <c:f>Sheet1!#REF!</c:f>
              <c:strCache>
                <c:ptCount val="1"/>
                <c:pt idx="0">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1"/>
        <c:smooth val="0"/>
        <c:axId val="919530713"/>
        <c:axId val="389857667"/>
      </c:lineChart>
      <c:catAx>
        <c:axId val="91953071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389857667"/>
        <c:crossesAt val="0"/>
        <c:auto val="1"/>
        <c:lblAlgn val="ctr"/>
        <c:lblOffset val="100"/>
        <c:noMultiLvlLbl val="0"/>
      </c:catAx>
      <c:valAx>
        <c:axId val="389857667"/>
        <c:scaling>
          <c:orientation val="minMax"/>
          <c:max val="100"/>
          <c:min val="5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530713"/>
        <c:crosses val="autoZero"/>
        <c:crossBetween val="between"/>
        <c:majorUnit val="5"/>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图表标题</a:t>
            </a:r>
          </a:p>
        </c:rich>
      </c:tx>
      <c:layout/>
      <c:overlay val="0"/>
      <c:spPr>
        <a:noFill/>
        <a:ln>
          <a:noFill/>
        </a:ln>
        <a:effectLst/>
      </c:spPr>
    </c:title>
    <c:autoTitleDeleted val="0"/>
    <c:plotArea>
      <c:layout>
        <c:manualLayout>
          <c:layoutTarget val="inner"/>
          <c:xMode val="edge"/>
          <c:yMode val="edge"/>
          <c:x val="0.102289877699714"/>
          <c:y val="0.262420382165605"/>
          <c:w val="0.852432995055946"/>
          <c:h val="0.587133757961783"/>
        </c:manualLayout>
      </c:layout>
      <c:lineChart>
        <c:grouping val="standard"/>
        <c:varyColors val="0"/>
        <c:ser>
          <c:idx val="0"/>
          <c:order val="0"/>
          <c:tx>
            <c:strRef>
              <c:f>Sheet1!$B$1</c:f>
              <c:strCache>
                <c:ptCount val="1"/>
                <c:pt idx="0">
                  <c:v>新生儿死亡率（‰）</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Sheet1!$A$2:$A$4</c:f>
              <c:strCache>
                <c:ptCount val="3"/>
                <c:pt idx="0">
                  <c:v>2019年</c:v>
                </c:pt>
                <c:pt idx="1">
                  <c:v>2020年</c:v>
                </c:pt>
                <c:pt idx="2">
                  <c:v>2021年</c:v>
                </c:pt>
              </c:strCache>
            </c:strRef>
          </c:cat>
          <c:val>
            <c:numRef>
              <c:f>Sheet1!$B$2:$B$4</c:f>
              <c:numCache>
                <c:formatCode>General</c:formatCode>
                <c:ptCount val="3"/>
                <c:pt idx="0">
                  <c:v>0.42</c:v>
                </c:pt>
                <c:pt idx="1">
                  <c:v>0.92</c:v>
                </c:pt>
                <c:pt idx="2">
                  <c:v>0.9</c:v>
                </c:pt>
              </c:numCache>
            </c:numRef>
          </c:val>
          <c:smooth val="1"/>
        </c:ser>
        <c:ser>
          <c:idx val="1"/>
          <c:order val="1"/>
          <c:tx>
            <c:strRef>
              <c:f>Sheet1!$C$1</c:f>
              <c:strCache>
                <c:ptCount val="1"/>
                <c:pt idx="0">
                  <c:v>婴儿死亡率（‰）</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Sheet1!$A$2:$A$4</c:f>
              <c:strCache>
                <c:ptCount val="3"/>
                <c:pt idx="0">
                  <c:v>2019年</c:v>
                </c:pt>
                <c:pt idx="1">
                  <c:v>2020年</c:v>
                </c:pt>
                <c:pt idx="2">
                  <c:v>2021年</c:v>
                </c:pt>
              </c:strCache>
            </c:strRef>
          </c:cat>
          <c:val>
            <c:numRef>
              <c:f>Sheet1!$C$2:$C$4</c:f>
              <c:numCache>
                <c:formatCode>General</c:formatCode>
                <c:ptCount val="3"/>
                <c:pt idx="0">
                  <c:v>1.68</c:v>
                </c:pt>
                <c:pt idx="1">
                  <c:v>2.29</c:v>
                </c:pt>
                <c:pt idx="2">
                  <c:v>2.27</c:v>
                </c:pt>
              </c:numCache>
            </c:numRef>
          </c:val>
          <c:smooth val="1"/>
        </c:ser>
        <c:ser>
          <c:idx val="2"/>
          <c:order val="2"/>
          <c:tx>
            <c:strRef>
              <c:f>Sheet1!$D$1</c:f>
              <c:strCache>
                <c:ptCount val="1"/>
                <c:pt idx="0">
                  <c:v>5岁以下儿童死亡率（‰）</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Sheet1!$A$2:$A$4</c:f>
              <c:strCache>
                <c:ptCount val="3"/>
                <c:pt idx="0">
                  <c:v>2019年</c:v>
                </c:pt>
                <c:pt idx="1">
                  <c:v>2020年</c:v>
                </c:pt>
                <c:pt idx="2">
                  <c:v>2021年</c:v>
                </c:pt>
              </c:strCache>
            </c:strRef>
          </c:cat>
          <c:val>
            <c:numRef>
              <c:f>Sheet1!$D$2:$D$4</c:f>
              <c:numCache>
                <c:formatCode>General</c:formatCode>
                <c:ptCount val="3"/>
                <c:pt idx="0">
                  <c:v>3.79</c:v>
                </c:pt>
                <c:pt idx="1">
                  <c:v>3.21</c:v>
                </c:pt>
                <c:pt idx="2">
                  <c:v>2.72</c:v>
                </c:pt>
              </c:numCache>
            </c:numRef>
          </c:val>
          <c:smooth val="1"/>
        </c:ser>
        <c:dLbls>
          <c:showLegendKey val="0"/>
          <c:showVal val="0"/>
          <c:showCatName val="0"/>
          <c:showSerName val="0"/>
          <c:showPercent val="0"/>
          <c:showBubbleSize val="0"/>
        </c:dLbls>
        <c:marker val="1"/>
        <c:smooth val="1"/>
        <c:axId val="505214087"/>
        <c:axId val="599345675"/>
      </c:lineChart>
      <c:catAx>
        <c:axId val="505214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599345675"/>
        <c:crosses val="autoZero"/>
        <c:auto val="1"/>
        <c:lblAlgn val="ctr"/>
        <c:lblOffset val="100"/>
        <c:noMultiLvlLbl val="0"/>
      </c:catAx>
      <c:valAx>
        <c:axId val="599345675"/>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21408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dk1">
                    <a:lumMod val="50000"/>
                    <a:lumOff val="50000"/>
                  </a:schemeClr>
                </a:solidFill>
                <a:latin typeface="+mn-lt"/>
                <a:ea typeface="+mn-ea"/>
                <a:cs typeface="+mn-cs"/>
              </a:defRPr>
            </a:pPr>
            <a:r>
              <a:t>孕产妇贫血患病率（</a:t>
            </a:r>
            <a:r>
              <a:rPr lang="en-US" altLang="zh-CN"/>
              <a:t>%</a:t>
            </a:r>
            <a:r>
              <a:rPr altLang="en-US"/>
              <a:t>）</a:t>
            </a:r>
            <a:endParaRPr altLang="en-US"/>
          </a:p>
        </c:rich>
      </c:tx>
      <c:layout>
        <c:manualLayout>
          <c:xMode val="edge"/>
          <c:yMode val="edge"/>
          <c:x val="0.3545"/>
          <c:y val="0.0225"/>
        </c:manualLayout>
      </c:layout>
      <c:overlay val="0"/>
      <c:spPr>
        <a:noFill/>
        <a:ln>
          <a:noFill/>
        </a:ln>
        <a:effectLst/>
      </c:spPr>
    </c:title>
    <c:autoTitleDeleted val="0"/>
    <c:plotArea>
      <c:layout/>
      <c:lineChart>
        <c:grouping val="standard"/>
        <c:varyColors val="0"/>
        <c:ser>
          <c:idx val="0"/>
          <c:order val="0"/>
          <c:tx>
            <c:strRef>
              <c:f>Sheet1!$B$1</c:f>
              <c:strCache>
                <c:ptCount val="1"/>
                <c:pt idx="0">
                  <c:v>孕产妇贫血患病率（%）</c:v>
                </c:pt>
              </c:strCache>
            </c:strRef>
          </c:tx>
          <c:spPr>
            <a:ln w="22225" cap="rnd" cmpd="sng" algn="ctr">
              <a:solidFill>
                <a:schemeClr val="accent1"/>
              </a:solidFill>
              <a:round/>
            </a:ln>
            <a:effectLst/>
          </c:spPr>
          <c:marker>
            <c:symbol val="none"/>
          </c:marker>
          <c:dLbls>
            <c:delete val="1"/>
          </c:dLbls>
          <c:cat>
            <c:strRef>
              <c:f>Sheet1!$A$2:$A$4</c:f>
              <c:strCache>
                <c:ptCount val="3"/>
                <c:pt idx="0">
                  <c:v>2019年</c:v>
                </c:pt>
                <c:pt idx="1">
                  <c:v>2020年</c:v>
                </c:pt>
                <c:pt idx="2">
                  <c:v>2021年</c:v>
                </c:pt>
              </c:strCache>
            </c:strRef>
          </c:cat>
          <c:val>
            <c:numRef>
              <c:f>Sheet1!$B$2:$B$4</c:f>
              <c:numCache>
                <c:formatCode>General</c:formatCode>
                <c:ptCount val="3"/>
                <c:pt idx="0">
                  <c:v>0.61</c:v>
                </c:pt>
                <c:pt idx="1">
                  <c:v>1.02</c:v>
                </c:pt>
                <c:pt idx="2">
                  <c:v>1.45</c:v>
                </c:pt>
              </c:numCache>
            </c:numRef>
          </c:val>
          <c:smooth val="0"/>
        </c:ser>
        <c:ser>
          <c:idx val="1"/>
          <c:order val="1"/>
          <c:tx>
            <c:strRef>
              <c:f>Sheet1!#REF!</c:f>
              <c:strCache>
                <c:ptCount val="1"/>
                <c:pt idx="0">
                  <c:v/>
                </c:pt>
              </c:strCache>
            </c:strRef>
          </c:tx>
          <c:spPr>
            <a:ln w="22225" cap="rnd" cmpd="sng" algn="ctr">
              <a:solidFill>
                <a:schemeClr val="accent2"/>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2225" cap="rnd" cmpd="sng" algn="ctr">
              <a:solidFill>
                <a:schemeClr val="accent3"/>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0"/>
        <c:smooth val="0"/>
        <c:axId val="592959610"/>
        <c:axId val="976035042"/>
      </c:lineChart>
      <c:catAx>
        <c:axId val="592959610"/>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976035042"/>
        <c:crosses val="autoZero"/>
        <c:auto val="1"/>
        <c:lblAlgn val="ctr"/>
        <c:lblOffset val="100"/>
        <c:noMultiLvlLbl val="0"/>
      </c:catAx>
      <c:valAx>
        <c:axId val="976035042"/>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59295961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5</a:t>
            </a:r>
            <a:r>
              <a:rPr altLang="en-US"/>
              <a:t>岁以下</a:t>
            </a:r>
            <a:r>
              <a:t>儿童指标变化</a:t>
            </a:r>
          </a:p>
        </c:rich>
      </c:tx>
      <c:layout/>
      <c:overlay val="0"/>
      <c:spPr>
        <a:noFill/>
        <a:ln>
          <a:noFill/>
        </a:ln>
        <a:effectLst/>
      </c:spPr>
    </c:title>
    <c:autoTitleDeleted val="0"/>
    <c:plotArea>
      <c:layout/>
      <c:lineChart>
        <c:grouping val="standard"/>
        <c:varyColors val="0"/>
        <c:ser>
          <c:idx val="0"/>
          <c:order val="0"/>
          <c:tx>
            <c:strRef>
              <c:f>Sheet1!$B$1</c:f>
              <c:strCache>
                <c:ptCount val="1"/>
                <c:pt idx="0">
                  <c:v>5岁以下儿童生长发育迟缓率（%）</c:v>
                </c:pt>
              </c:strCache>
            </c:strRef>
          </c:tx>
          <c:spPr>
            <a:ln w="28575" cap="rnd">
              <a:solidFill>
                <a:schemeClr val="accent1"/>
              </a:solidFill>
              <a:round/>
            </a:ln>
            <a:effectLst/>
          </c:spPr>
          <c:marker>
            <c:symbol val="none"/>
          </c:marker>
          <c:dLbls>
            <c:delete val="1"/>
          </c:dLbls>
          <c:cat>
            <c:strRef>
              <c:f>Sheet1!$A$2:$A$4</c:f>
              <c:strCache>
                <c:ptCount val="3"/>
                <c:pt idx="0">
                  <c:v>2019年</c:v>
                </c:pt>
                <c:pt idx="1">
                  <c:v>2020年</c:v>
                </c:pt>
                <c:pt idx="2">
                  <c:v>2021年</c:v>
                </c:pt>
              </c:strCache>
            </c:strRef>
          </c:cat>
          <c:val>
            <c:numRef>
              <c:f>Sheet1!$B$2:$B$4</c:f>
              <c:numCache>
                <c:formatCode>General</c:formatCode>
                <c:ptCount val="3"/>
                <c:pt idx="0">
                  <c:v>0.06</c:v>
                </c:pt>
                <c:pt idx="1">
                  <c:v>0.13</c:v>
                </c:pt>
                <c:pt idx="2">
                  <c:v>0.12</c:v>
                </c:pt>
              </c:numCache>
            </c:numRef>
          </c:val>
          <c:smooth val="0"/>
        </c:ser>
        <c:ser>
          <c:idx val="1"/>
          <c:order val="1"/>
          <c:tx>
            <c:strRef>
              <c:f>Sheet1!$C$1</c:f>
              <c:strCache>
                <c:ptCount val="1"/>
                <c:pt idx="0">
                  <c:v>5岁以下儿童贫血人数率（%）</c:v>
                </c:pt>
              </c:strCache>
            </c:strRef>
          </c:tx>
          <c:spPr>
            <a:ln w="28575" cap="rnd">
              <a:solidFill>
                <a:schemeClr val="accent2"/>
              </a:solidFill>
              <a:round/>
            </a:ln>
            <a:effectLst/>
          </c:spPr>
          <c:marker>
            <c:symbol val="none"/>
          </c:marker>
          <c:dLbls>
            <c:delete val="1"/>
          </c:dLbls>
          <c:cat>
            <c:strRef>
              <c:f>Sheet1!$A$2:$A$4</c:f>
              <c:strCache>
                <c:ptCount val="3"/>
                <c:pt idx="0">
                  <c:v>2019年</c:v>
                </c:pt>
                <c:pt idx="1">
                  <c:v>2020年</c:v>
                </c:pt>
                <c:pt idx="2">
                  <c:v>2021年</c:v>
                </c:pt>
              </c:strCache>
            </c:strRef>
          </c:cat>
          <c:val>
            <c:numRef>
              <c:f>Sheet1!$C$2:$C$4</c:f>
              <c:numCache>
                <c:formatCode>General</c:formatCode>
                <c:ptCount val="3"/>
                <c:pt idx="0">
                  <c:v>0.47</c:v>
                </c:pt>
                <c:pt idx="1">
                  <c:v>0.47</c:v>
                </c:pt>
                <c:pt idx="2">
                  <c:v>0.45</c:v>
                </c:pt>
              </c:numCache>
            </c:numRef>
          </c:val>
          <c:smooth val="0"/>
        </c:ser>
        <c:ser>
          <c:idx val="2"/>
          <c:order val="2"/>
          <c:tx>
            <c:strRef>
              <c:f>Sheet1!$D$1</c:f>
              <c:strCache>
                <c:ptCount val="1"/>
                <c:pt idx="0">
                  <c:v>出生缺陷发生率（‰）</c:v>
                </c:pt>
              </c:strCache>
            </c:strRef>
          </c:tx>
          <c:spPr>
            <a:ln w="28575" cap="rnd">
              <a:solidFill>
                <a:schemeClr val="accent3"/>
              </a:solidFill>
              <a:round/>
            </a:ln>
            <a:effectLst/>
          </c:spPr>
          <c:marker>
            <c:symbol val="none"/>
          </c:marker>
          <c:dLbls>
            <c:delete val="1"/>
          </c:dLbls>
          <c:cat>
            <c:strRef>
              <c:f>Sheet1!$A$2:$A$4</c:f>
              <c:strCache>
                <c:ptCount val="3"/>
                <c:pt idx="0">
                  <c:v>2019年</c:v>
                </c:pt>
                <c:pt idx="1">
                  <c:v>2020年</c:v>
                </c:pt>
                <c:pt idx="2">
                  <c:v>2021年</c:v>
                </c:pt>
              </c:strCache>
            </c:strRef>
          </c:cat>
          <c:val>
            <c:numRef>
              <c:f>Sheet1!$D$2:$D$4</c:f>
              <c:numCache>
                <c:formatCode>General</c:formatCode>
                <c:ptCount val="3"/>
                <c:pt idx="0">
                  <c:v>9.34</c:v>
                </c:pt>
                <c:pt idx="1">
                  <c:v>9.3</c:v>
                </c:pt>
                <c:pt idx="2">
                  <c:v>9.28</c:v>
                </c:pt>
              </c:numCache>
            </c:numRef>
          </c:val>
          <c:smooth val="0"/>
        </c:ser>
        <c:dLbls>
          <c:showLegendKey val="0"/>
          <c:showVal val="0"/>
          <c:showCatName val="0"/>
          <c:showSerName val="0"/>
          <c:showPercent val="0"/>
          <c:showBubbleSize val="0"/>
        </c:dLbls>
        <c:marker val="0"/>
        <c:smooth val="0"/>
        <c:axId val="388349102"/>
        <c:axId val="346360939"/>
      </c:lineChart>
      <c:catAx>
        <c:axId val="3883491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6360939"/>
        <c:crosses val="autoZero"/>
        <c:auto val="1"/>
        <c:lblAlgn val="ctr"/>
        <c:lblOffset val="100"/>
        <c:noMultiLvlLbl val="0"/>
      </c:catAx>
      <c:valAx>
        <c:axId val="3463609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3491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产前筛查率（</a:t>
            </a:r>
            <a:r>
              <a:rPr lang="en-US" altLang="zh-CN"/>
              <a:t>%</a:t>
            </a:r>
            <a:r>
              <a:rPr altLang="en-US"/>
              <a:t>）</a:t>
            </a:r>
            <a:endParaRPr altLang="en-US"/>
          </a:p>
        </c:rich>
      </c:tx>
      <c:layout/>
      <c:overlay val="0"/>
      <c:spPr>
        <a:noFill/>
        <a:ln>
          <a:noFill/>
        </a:ln>
        <a:effectLst/>
      </c:spPr>
    </c:title>
    <c:autoTitleDeleted val="0"/>
    <c:plotArea>
      <c:layout/>
      <c:lineChart>
        <c:grouping val="standard"/>
        <c:varyColors val="0"/>
        <c:ser>
          <c:idx val="0"/>
          <c:order val="0"/>
          <c:tx>
            <c:strRef>
              <c:f>Sheet1!$B$1</c:f>
              <c:strCache>
                <c:ptCount val="1"/>
                <c:pt idx="0">
                  <c:v>产前筛查率（%）</c:v>
                </c:pt>
              </c:strCache>
            </c:strRef>
          </c:tx>
          <c:spPr>
            <a:ln w="28575" cap="rnd">
              <a:solidFill>
                <a:schemeClr val="accent1"/>
              </a:solidFill>
              <a:round/>
            </a:ln>
            <a:effectLst/>
          </c:spPr>
          <c:marker>
            <c:symbol val="none"/>
          </c:marker>
          <c:dLbls>
            <c:delete val="1"/>
          </c:dLbls>
          <c:cat>
            <c:strRef>
              <c:f>Sheet1!$A$2:$A$4</c:f>
              <c:strCache>
                <c:ptCount val="3"/>
                <c:pt idx="0">
                  <c:v>2019年</c:v>
                </c:pt>
                <c:pt idx="1">
                  <c:v>2020年</c:v>
                </c:pt>
                <c:pt idx="2">
                  <c:v>2021年</c:v>
                </c:pt>
              </c:strCache>
            </c:strRef>
          </c:cat>
          <c:val>
            <c:numRef>
              <c:f>Sheet1!$B$2:$B$4</c:f>
              <c:numCache>
                <c:formatCode>General</c:formatCode>
                <c:ptCount val="3"/>
                <c:pt idx="0">
                  <c:v>93</c:v>
                </c:pt>
                <c:pt idx="1">
                  <c:v>114.4</c:v>
                </c:pt>
                <c:pt idx="2">
                  <c:v>103.28</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382354614"/>
        <c:axId val="405126783"/>
      </c:lineChart>
      <c:catAx>
        <c:axId val="3823546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126783"/>
        <c:crosses val="autoZero"/>
        <c:auto val="1"/>
        <c:lblAlgn val="ctr"/>
        <c:lblOffset val="100"/>
        <c:noMultiLvlLbl val="0"/>
      </c:catAx>
      <c:valAx>
        <c:axId val="405126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3546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baseline="0">
                <a:solidFill>
                  <a:schemeClr val="tx1">
                    <a:lumMod val="65000"/>
                    <a:lumOff val="35000"/>
                  </a:schemeClr>
                </a:solidFill>
                <a:latin typeface="+mn-lt"/>
                <a:ea typeface="+mn-ea"/>
                <a:cs typeface="+mn-cs"/>
              </a:defRPr>
            </a:pPr>
            <a:r>
              <a:rPr altLang="en-US" sz="1600" b="1">
                <a:latin typeface="黑体" panose="02010609060101010101" charset="-122"/>
                <a:ea typeface="黑体" panose="02010609060101010101" charset="-122"/>
              </a:rPr>
              <a:t>婚姻检查率</a:t>
            </a:r>
            <a:endParaRPr altLang="en-US" sz="1600" b="1">
              <a:latin typeface="黑体" panose="02010609060101010101" charset="-122"/>
              <a:ea typeface="黑体" panose="02010609060101010101" charset="-122"/>
            </a:endParaRPr>
          </a:p>
        </c:rich>
      </c:tx>
      <c:layout>
        <c:manualLayout>
          <c:xMode val="edge"/>
          <c:yMode val="edge"/>
          <c:x val="0.32825"/>
          <c:y val="0.0978333333333333"/>
        </c:manualLayout>
      </c:layout>
      <c:overlay val="0"/>
      <c:spPr>
        <a:noFill/>
        <a:ln>
          <a:noFill/>
        </a:ln>
        <a:effectLst/>
      </c:spPr>
    </c:title>
    <c:autoTitleDeleted val="0"/>
    <c:plotArea>
      <c:layout>
        <c:manualLayout>
          <c:layoutTarget val="inner"/>
          <c:xMode val="edge"/>
          <c:yMode val="edge"/>
          <c:x val="0.115169133192389"/>
          <c:y val="0.291361314679103"/>
          <c:w val="0.810438689217759"/>
          <c:h val="0.477326226959805"/>
        </c:manualLayout>
      </c:layout>
      <c:lineChart>
        <c:grouping val="stacked"/>
        <c:varyColors val="0"/>
        <c:ser>
          <c:idx val="0"/>
          <c:order val="0"/>
          <c:tx>
            <c:strRef>
              <c:f>Sheet1!$B$1</c:f>
              <c:strCache>
                <c:ptCount val="1"/>
                <c:pt idx="0">
                  <c:v>婚检率（%）</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2019年</c:v>
                </c:pt>
                <c:pt idx="1">
                  <c:v>2020年</c:v>
                </c:pt>
                <c:pt idx="2">
                  <c:v>2021年</c:v>
                </c:pt>
              </c:strCache>
            </c:strRef>
          </c:cat>
          <c:val>
            <c:numRef>
              <c:f>Sheet1!$B$2:$B$4</c:f>
              <c:numCache>
                <c:formatCode>General</c:formatCode>
                <c:ptCount val="3"/>
                <c:pt idx="0">
                  <c:v>99.18</c:v>
                </c:pt>
                <c:pt idx="1">
                  <c:v>98.85</c:v>
                </c:pt>
                <c:pt idx="2">
                  <c:v>98.8</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854081581"/>
        <c:axId val="22247140"/>
      </c:lineChart>
      <c:catAx>
        <c:axId val="85408158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247140"/>
        <c:crosses val="autoZero"/>
        <c:auto val="1"/>
        <c:lblAlgn val="ctr"/>
        <c:lblOffset val="100"/>
        <c:noMultiLvlLbl val="0"/>
      </c:catAx>
      <c:valAx>
        <c:axId val="222471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4081581"/>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4340</Words>
  <Characters>4830</Characters>
  <Lines>0</Lines>
  <Paragraphs>0</Paragraphs>
  <TotalTime>25</TotalTime>
  <ScaleCrop>false</ScaleCrop>
  <LinksUpToDate>false</LinksUpToDate>
  <CharactersWithSpaces>4859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2022-01-17T02:51:00Z</dcterms:created>
  <dc:creator>Administrator</dc:creator>
  <cp:lastModifiedBy>舍  得</cp:lastModifiedBy>
  <cp:lastPrinted>2022-04-06T08:10:00Z</cp:lastPrinted>
  <dcterms:modified xsi:type="dcterms:W3CDTF">2022-10-12T02:45:24Z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5C8D1AD483C94705960CDF4E90EB4A83</vt:lpwstr>
  </property>
</Properties>
</file>