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82" w:rsidRDefault="008F6D82">
      <w:pPr>
        <w:widowControl/>
        <w:spacing w:line="600" w:lineRule="exact"/>
        <w:jc w:val="center"/>
        <w:rPr>
          <w:rFonts w:ascii="黑体" w:eastAsia="黑体" w:hAnsi="黑体" w:cs="黑体"/>
          <w:b/>
          <w:bCs/>
          <w:sz w:val="36"/>
          <w:szCs w:val="36"/>
        </w:rPr>
      </w:pPr>
    </w:p>
    <w:p w:rsidR="008F6D82" w:rsidRDefault="00261D61">
      <w:pPr>
        <w:widowControl/>
        <w:spacing w:line="600" w:lineRule="exact"/>
        <w:jc w:val="center"/>
        <w:rPr>
          <w:rFonts w:ascii="黑体" w:eastAsia="黑体" w:hAnsi="黑体" w:cs="黑体"/>
          <w:b/>
          <w:bCs/>
          <w:sz w:val="36"/>
          <w:szCs w:val="36"/>
        </w:rPr>
      </w:pPr>
      <w:r>
        <w:rPr>
          <w:rFonts w:ascii="黑体" w:eastAsia="黑体" w:hAnsi="黑体" w:cs="黑体" w:hint="eastAsia"/>
          <w:b/>
          <w:bCs/>
          <w:sz w:val="36"/>
          <w:szCs w:val="36"/>
        </w:rPr>
        <w:t>202</w:t>
      </w:r>
      <w:r w:rsidR="00522BA7">
        <w:rPr>
          <w:rFonts w:ascii="黑体" w:eastAsia="黑体" w:hAnsi="黑体" w:cs="黑体" w:hint="eastAsia"/>
          <w:b/>
          <w:bCs/>
          <w:sz w:val="36"/>
          <w:szCs w:val="36"/>
        </w:rPr>
        <w:t>3</w:t>
      </w:r>
      <w:r>
        <w:rPr>
          <w:rFonts w:ascii="黑体" w:eastAsia="黑体" w:hAnsi="黑体" w:cs="黑体" w:hint="eastAsia"/>
          <w:b/>
          <w:bCs/>
          <w:sz w:val="36"/>
          <w:szCs w:val="36"/>
        </w:rPr>
        <w:t>年</w:t>
      </w:r>
      <w:r>
        <w:rPr>
          <w:rFonts w:ascii="黑体" w:eastAsia="黑体" w:hAnsi="黑体" w:cs="黑体" w:hint="eastAsia"/>
          <w:b/>
          <w:bCs/>
          <w:kern w:val="0"/>
          <w:sz w:val="36"/>
          <w:szCs w:val="36"/>
        </w:rPr>
        <w:t>邵阳市大祥区商务局</w:t>
      </w:r>
      <w:r>
        <w:rPr>
          <w:rFonts w:ascii="黑体" w:eastAsia="黑体" w:hAnsi="黑体" w:cs="黑体" w:hint="eastAsia"/>
          <w:b/>
          <w:bCs/>
          <w:sz w:val="36"/>
          <w:szCs w:val="36"/>
        </w:rPr>
        <w:t>部门</w:t>
      </w:r>
      <w:r>
        <w:rPr>
          <w:rFonts w:ascii="黑体" w:eastAsia="黑体" w:hAnsi="黑体" w:cs="黑体" w:hint="eastAsia"/>
          <w:b/>
          <w:bCs/>
          <w:sz w:val="36"/>
          <w:szCs w:val="36"/>
        </w:rPr>
        <w:t>整体支出</w:t>
      </w:r>
      <w:r>
        <w:rPr>
          <w:rFonts w:ascii="黑体" w:eastAsia="黑体" w:hAnsi="黑体" w:cs="黑体" w:hint="eastAsia"/>
          <w:b/>
          <w:bCs/>
          <w:sz w:val="36"/>
          <w:szCs w:val="36"/>
        </w:rPr>
        <w:t>绩效</w:t>
      </w:r>
    </w:p>
    <w:p w:rsidR="008F6D82" w:rsidRDefault="00261D61">
      <w:pPr>
        <w:widowControl/>
        <w:spacing w:line="600" w:lineRule="exact"/>
        <w:jc w:val="center"/>
        <w:rPr>
          <w:rFonts w:ascii="黑体" w:eastAsia="黑体" w:hAnsi="黑体" w:cs="黑体"/>
          <w:b/>
          <w:bCs/>
          <w:sz w:val="36"/>
          <w:szCs w:val="36"/>
        </w:rPr>
      </w:pPr>
      <w:r>
        <w:rPr>
          <w:rFonts w:ascii="黑体" w:eastAsia="黑体" w:hAnsi="黑体" w:cs="黑体" w:hint="eastAsia"/>
          <w:b/>
          <w:bCs/>
          <w:sz w:val="36"/>
          <w:szCs w:val="36"/>
        </w:rPr>
        <w:t>评价报告</w:t>
      </w:r>
    </w:p>
    <w:p w:rsidR="008F6D82" w:rsidRDefault="008F6D82">
      <w:pPr>
        <w:widowControl/>
        <w:spacing w:line="600" w:lineRule="exact"/>
        <w:rPr>
          <w:rFonts w:ascii="黑体" w:eastAsia="黑体" w:hAnsi="黑体" w:cs="黑体"/>
          <w:b/>
          <w:bCs/>
          <w:sz w:val="36"/>
          <w:szCs w:val="36"/>
        </w:rPr>
      </w:pPr>
    </w:p>
    <w:p w:rsidR="008F6D82" w:rsidRDefault="00261D61">
      <w:pPr>
        <w:widowControl/>
        <w:spacing w:line="600" w:lineRule="exact"/>
        <w:ind w:firstLineChars="200" w:firstLine="720"/>
        <w:rPr>
          <w:rFonts w:ascii="黑体" w:eastAsia="黑体" w:hAnsi="黑体" w:cs="黑体"/>
          <w:bCs/>
          <w:kern w:val="0"/>
          <w:sz w:val="36"/>
          <w:szCs w:val="36"/>
        </w:rPr>
      </w:pPr>
      <w:r>
        <w:rPr>
          <w:rFonts w:ascii="黑体" w:eastAsia="黑体" w:hAnsi="黑体" w:cs="黑体" w:hint="eastAsia"/>
          <w:bCs/>
          <w:kern w:val="0"/>
          <w:sz w:val="36"/>
          <w:szCs w:val="36"/>
        </w:rPr>
        <w:t>一、</w:t>
      </w:r>
      <w:r>
        <w:rPr>
          <w:rFonts w:ascii="黑体" w:eastAsia="黑体" w:hAnsi="黑体" w:cs="黑体" w:hint="eastAsia"/>
          <w:bCs/>
          <w:kern w:val="0"/>
          <w:sz w:val="32"/>
          <w:szCs w:val="32"/>
        </w:rPr>
        <w:t>大祥区商务局部门概况</w:t>
      </w:r>
    </w:p>
    <w:p w:rsidR="008F6D82" w:rsidRDefault="00261D61">
      <w:pPr>
        <w:widowControl/>
        <w:spacing w:line="600" w:lineRule="exact"/>
        <w:ind w:firstLineChars="200" w:firstLine="640"/>
        <w:rPr>
          <w:rFonts w:ascii="黑体" w:eastAsia="黑体" w:hAnsi="黑体"/>
          <w:bCs/>
          <w:kern w:val="0"/>
          <w:sz w:val="32"/>
          <w:szCs w:val="32"/>
        </w:rPr>
      </w:pPr>
      <w:r>
        <w:rPr>
          <w:rFonts w:ascii="黑体" w:eastAsia="黑体" w:hAnsi="黑体" w:hint="eastAsia"/>
          <w:bCs/>
          <w:kern w:val="0"/>
          <w:sz w:val="32"/>
          <w:szCs w:val="32"/>
        </w:rPr>
        <w:t>（一）部门职责</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w:t>
      </w:r>
      <w:r>
        <w:rPr>
          <w:rFonts w:asciiTheme="minorEastAsia" w:eastAsiaTheme="minorEastAsia" w:hAnsiTheme="minorEastAsia" w:cstheme="minorEastAsia" w:hint="eastAsia"/>
          <w:kern w:val="0"/>
          <w:sz w:val="32"/>
          <w:szCs w:val="32"/>
          <w:shd w:val="clear" w:color="auto" w:fill="FFFFFF"/>
          <w:lang w:bidi="ar"/>
        </w:rPr>
        <w:t>、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2</w:t>
      </w:r>
      <w:r>
        <w:rPr>
          <w:rFonts w:asciiTheme="minorEastAsia" w:eastAsiaTheme="minorEastAsia" w:hAnsiTheme="minorEastAsia" w:cstheme="minorEastAsia" w:hint="eastAsia"/>
          <w:kern w:val="0"/>
          <w:sz w:val="32"/>
          <w:szCs w:val="32"/>
          <w:shd w:val="clear" w:color="auto" w:fill="FFFFFF"/>
          <w:lang w:bidi="ar"/>
        </w:rPr>
        <w:t>、负责推进流通产业结构调整，指导流通企业改革，促进商贸服务业和社区商业发展，提出促进商贸中小企业发展的政策建议，推动流通标准化和连锁经营、商业特许经营、物流配送、电子商务等现代流通方式的发展。</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kern w:val="0"/>
          <w:sz w:val="32"/>
          <w:szCs w:val="32"/>
          <w:shd w:val="clear" w:color="auto" w:fill="FFFFFF"/>
          <w:lang w:bidi="ar"/>
        </w:rPr>
      </w:pPr>
      <w:r>
        <w:rPr>
          <w:rFonts w:asciiTheme="minorEastAsia" w:eastAsiaTheme="minorEastAsia" w:hAnsiTheme="minorEastAsia" w:cstheme="minorEastAsia" w:hint="eastAsia"/>
          <w:kern w:val="0"/>
          <w:sz w:val="32"/>
          <w:szCs w:val="32"/>
          <w:shd w:val="clear" w:color="auto" w:fill="FFFFFF"/>
          <w:lang w:bidi="ar"/>
        </w:rPr>
        <w:t>3</w:t>
      </w:r>
      <w:r>
        <w:rPr>
          <w:rFonts w:asciiTheme="minorEastAsia" w:eastAsiaTheme="minorEastAsia" w:hAnsiTheme="minorEastAsia" w:cstheme="minorEastAsia" w:hint="eastAsia"/>
          <w:kern w:val="0"/>
          <w:sz w:val="32"/>
          <w:szCs w:val="32"/>
          <w:shd w:val="clear" w:color="auto" w:fill="FFFFFF"/>
          <w:lang w:bidi="ar"/>
        </w:rPr>
        <w:t>、拟订全区内外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lastRenderedPageBreak/>
        <w:t>4</w:t>
      </w:r>
      <w:r>
        <w:rPr>
          <w:rFonts w:asciiTheme="minorEastAsia" w:eastAsiaTheme="minorEastAsia" w:hAnsiTheme="minorEastAsia" w:cstheme="minorEastAsia" w:hint="eastAsia"/>
          <w:kern w:val="0"/>
          <w:sz w:val="32"/>
          <w:szCs w:val="32"/>
          <w:shd w:val="clear" w:color="auto" w:fill="FFFFFF"/>
          <w:lang w:bidi="ar"/>
        </w:rPr>
        <w:t>、推动商务领域信用建设，指导商业信用销售，建立市场诚信公共服务平台；按有关规定对特殊流通行业（不含典</w:t>
      </w:r>
      <w:r>
        <w:rPr>
          <w:rFonts w:asciiTheme="minorEastAsia" w:eastAsiaTheme="minorEastAsia" w:hAnsiTheme="minorEastAsia" w:cstheme="minorEastAsia" w:hint="eastAsia"/>
          <w:kern w:val="0"/>
          <w:sz w:val="32"/>
          <w:szCs w:val="32"/>
          <w:shd w:val="clear" w:color="auto" w:fill="FFFFFF"/>
          <w:lang w:bidi="ar"/>
        </w:rPr>
        <w:t>当、融资租赁和商业保理）进行监督管理。</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5</w:t>
      </w:r>
      <w:r>
        <w:rPr>
          <w:rFonts w:asciiTheme="minorEastAsia" w:eastAsiaTheme="minorEastAsia" w:hAnsiTheme="minorEastAsia" w:cstheme="minorEastAsia" w:hint="eastAsia"/>
          <w:kern w:val="0"/>
          <w:sz w:val="32"/>
          <w:szCs w:val="32"/>
          <w:shd w:val="clear" w:color="auto" w:fill="FFFFFF"/>
          <w:lang w:bidi="ar"/>
        </w:rPr>
        <w:t>、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6</w:t>
      </w:r>
      <w:r>
        <w:rPr>
          <w:rFonts w:asciiTheme="minorEastAsia" w:eastAsiaTheme="minorEastAsia" w:hAnsiTheme="minorEastAsia" w:cstheme="minorEastAsia" w:hint="eastAsia"/>
          <w:kern w:val="0"/>
          <w:sz w:val="32"/>
          <w:szCs w:val="32"/>
          <w:shd w:val="clear" w:color="auto" w:fill="FFFFFF"/>
          <w:lang w:bidi="ar"/>
        </w:rPr>
        <w:t>、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7</w:t>
      </w:r>
      <w:r>
        <w:rPr>
          <w:rFonts w:asciiTheme="minorEastAsia" w:eastAsiaTheme="minorEastAsia" w:hAnsiTheme="minorEastAsia" w:cstheme="minorEastAsia" w:hint="eastAsia"/>
          <w:kern w:val="0"/>
          <w:sz w:val="32"/>
          <w:szCs w:val="32"/>
          <w:shd w:val="clear" w:color="auto" w:fill="FFFFFF"/>
          <w:lang w:bidi="ar"/>
        </w:rPr>
        <w:t>、贯彻执行国家</w:t>
      </w:r>
      <w:r>
        <w:rPr>
          <w:rFonts w:asciiTheme="minorEastAsia" w:eastAsiaTheme="minorEastAsia" w:hAnsiTheme="minorEastAsia" w:cstheme="minorEastAsia" w:hint="eastAsia"/>
          <w:kern w:val="0"/>
          <w:sz w:val="32"/>
          <w:szCs w:val="32"/>
          <w:shd w:val="clear" w:color="auto" w:fill="FFFFFF"/>
          <w:lang w:bidi="ar"/>
        </w:rPr>
        <w:t>对外技术贸易、出口管制以及鼓励技术和成套设备进出口的贸易政策，推进进出口贸易标准化工作；依法监督技术引进、设备进口、国家限制出口技术的工作。</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8</w:t>
      </w:r>
      <w:r>
        <w:rPr>
          <w:rFonts w:asciiTheme="minorEastAsia" w:eastAsiaTheme="minorEastAsia" w:hAnsiTheme="minorEastAsia" w:cstheme="minorEastAsia" w:hint="eastAsia"/>
          <w:kern w:val="0"/>
          <w:sz w:val="32"/>
          <w:szCs w:val="32"/>
          <w:shd w:val="clear" w:color="auto" w:fill="FFFFFF"/>
          <w:lang w:bidi="ar"/>
        </w:rPr>
        <w:t>、牵头拟订服务贸易发展规划并开展相关工作；会同有关部门制定促进服务出口、服务外包的规划、政策并组织实施，推动服务外包平台建设。</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lastRenderedPageBreak/>
        <w:t>9</w:t>
      </w:r>
      <w:r>
        <w:rPr>
          <w:rFonts w:asciiTheme="minorEastAsia" w:eastAsiaTheme="minorEastAsia" w:hAnsiTheme="minorEastAsia" w:cstheme="minorEastAsia" w:hint="eastAsia"/>
          <w:kern w:val="0"/>
          <w:sz w:val="32"/>
          <w:szCs w:val="32"/>
          <w:shd w:val="clear" w:color="auto" w:fill="FFFFFF"/>
          <w:lang w:bidi="ar"/>
        </w:rPr>
        <w:t>、贯彻执行我国多双边（含区域、自由贸易区）经贸合作战略和政策，推进我区与其他国家（地区）的经贸往来与投资贸易合作；牵头承担全区商务领域涉及世界贸易组织事务的相关工作，负责对外经济贸易协调工作。</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10</w:t>
      </w:r>
      <w:r>
        <w:rPr>
          <w:rFonts w:asciiTheme="minorEastAsia" w:eastAsiaTheme="minorEastAsia" w:hAnsiTheme="minorEastAsia" w:cstheme="minorEastAsia" w:hint="eastAsia"/>
          <w:kern w:val="0"/>
          <w:sz w:val="32"/>
          <w:szCs w:val="32"/>
          <w:shd w:val="clear" w:color="auto" w:fill="FFFFFF"/>
          <w:lang w:bidi="ar"/>
        </w:rPr>
        <w:t>、负责组织协调反倾销、反补贴、保障措施及</w:t>
      </w:r>
      <w:r>
        <w:rPr>
          <w:rFonts w:asciiTheme="minorEastAsia" w:eastAsiaTheme="minorEastAsia" w:hAnsiTheme="minorEastAsia" w:cstheme="minorEastAsia" w:hint="eastAsia"/>
          <w:kern w:val="0"/>
          <w:sz w:val="32"/>
          <w:szCs w:val="32"/>
          <w:shd w:val="clear" w:color="auto" w:fill="FFFFFF"/>
          <w:lang w:bidi="ar"/>
        </w:rPr>
        <w:t>其他与进出口公平贸易相关的工作，协助开展对外贸易调查和产业损害调查，指导协调产业安全应对工作。</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11</w:t>
      </w:r>
      <w:r>
        <w:rPr>
          <w:rFonts w:asciiTheme="minorEastAsia" w:eastAsiaTheme="minorEastAsia" w:hAnsiTheme="minorEastAsia" w:cstheme="minorEastAsia" w:hint="eastAsia"/>
          <w:kern w:val="0"/>
          <w:sz w:val="32"/>
          <w:szCs w:val="32"/>
          <w:shd w:val="clear" w:color="auto" w:fill="FFFFFF"/>
          <w:lang w:bidi="ar"/>
        </w:rPr>
        <w:t>、承担全区招商引资工作，拟订并组织实施全区招商引资工作；依法监督检查外商投资企业执行有关法律法规规章、合同章程的情况并协调解决有关问题；规范招商引资活动。</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12</w:t>
      </w:r>
      <w:r>
        <w:rPr>
          <w:rFonts w:asciiTheme="minorEastAsia" w:eastAsiaTheme="minorEastAsia" w:hAnsiTheme="minorEastAsia" w:cstheme="minorEastAsia" w:hint="eastAsia"/>
          <w:kern w:val="0"/>
          <w:sz w:val="32"/>
          <w:szCs w:val="32"/>
          <w:shd w:val="clear" w:color="auto" w:fill="FFFFFF"/>
          <w:lang w:bidi="ar"/>
        </w:rPr>
        <w:t>、拟订并组织实施全区对外经济合作政策；管理和监督对外承包工程、劳务合作和境外就业等；对我区企业在境外投资开办企业和机构（金融企业除外）实施监督和管理工作。</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13</w:t>
      </w:r>
      <w:r>
        <w:rPr>
          <w:rFonts w:asciiTheme="minorEastAsia" w:eastAsiaTheme="minorEastAsia" w:hAnsiTheme="minorEastAsia" w:cstheme="minorEastAsia" w:hint="eastAsia"/>
          <w:kern w:val="0"/>
          <w:sz w:val="32"/>
          <w:szCs w:val="32"/>
          <w:shd w:val="clear" w:color="auto" w:fill="FFFFFF"/>
          <w:lang w:bidi="ar"/>
        </w:rPr>
        <w:t>、负责全区对外援助项目，和接受多边对我区的无偿援助和赠款。</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14</w:t>
      </w:r>
      <w:r>
        <w:rPr>
          <w:rFonts w:asciiTheme="minorEastAsia" w:eastAsiaTheme="minorEastAsia" w:hAnsiTheme="minorEastAsia" w:cstheme="minorEastAsia" w:hint="eastAsia"/>
          <w:kern w:val="0"/>
          <w:sz w:val="32"/>
          <w:szCs w:val="32"/>
          <w:shd w:val="clear" w:color="auto" w:fill="FFFFFF"/>
          <w:lang w:bidi="ar"/>
        </w:rPr>
        <w:t>、贯彻执行国家对香港、澳门特</w:t>
      </w:r>
      <w:r>
        <w:rPr>
          <w:rFonts w:asciiTheme="minorEastAsia" w:eastAsiaTheme="minorEastAsia" w:hAnsiTheme="minorEastAsia" w:cstheme="minorEastAsia" w:hint="eastAsia"/>
          <w:kern w:val="0"/>
          <w:sz w:val="32"/>
          <w:szCs w:val="32"/>
          <w:shd w:val="clear" w:color="auto" w:fill="FFFFFF"/>
          <w:lang w:bidi="ar"/>
        </w:rPr>
        <w:t>别行政区和台湾地区的经贸规划、政策，指导我区对港、澳、台地区贸易和经贸合作活动，协调港、澳、台商投资管理工作。</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lastRenderedPageBreak/>
        <w:t>15</w:t>
      </w:r>
      <w:r>
        <w:rPr>
          <w:rFonts w:asciiTheme="minorEastAsia" w:eastAsiaTheme="minorEastAsia" w:hAnsiTheme="minorEastAsia" w:cstheme="minorEastAsia" w:hint="eastAsia"/>
          <w:kern w:val="0"/>
          <w:sz w:val="32"/>
          <w:szCs w:val="32"/>
          <w:shd w:val="clear" w:color="auto" w:fill="FFFFFF"/>
          <w:lang w:bidi="ar"/>
        </w:rPr>
        <w:t>、承担会展业促进与管理有关工作。指导和联系全区各类商贸行业协会、学会等社团组织工作。</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16</w:t>
      </w:r>
      <w:r>
        <w:rPr>
          <w:rFonts w:asciiTheme="minorEastAsia" w:eastAsiaTheme="minorEastAsia" w:hAnsiTheme="minorEastAsia" w:cstheme="minorEastAsia" w:hint="eastAsia"/>
          <w:kern w:val="0"/>
          <w:sz w:val="32"/>
          <w:szCs w:val="32"/>
          <w:shd w:val="clear" w:color="auto" w:fill="FFFFFF"/>
          <w:lang w:bidi="ar"/>
        </w:rPr>
        <w:t>、承担全区商务系统统计及其信息发布工作，提供信息咨询服务，指导全区流通领域信息网络和电子商务建设。</w:t>
      </w:r>
    </w:p>
    <w:p w:rsidR="008F6D82" w:rsidRDefault="00261D61">
      <w:pPr>
        <w:widowControl/>
        <w:shd w:val="clear" w:color="auto" w:fill="FFFFFF"/>
        <w:spacing w:before="120" w:line="360" w:lineRule="atLeast"/>
        <w:ind w:firstLine="64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 w:val="32"/>
          <w:szCs w:val="32"/>
          <w:shd w:val="clear" w:color="auto" w:fill="FFFFFF"/>
          <w:lang w:bidi="ar"/>
        </w:rPr>
        <w:t>17</w:t>
      </w:r>
      <w:r>
        <w:rPr>
          <w:rFonts w:asciiTheme="minorEastAsia" w:eastAsiaTheme="minorEastAsia" w:hAnsiTheme="minorEastAsia" w:cstheme="minorEastAsia" w:hint="eastAsia"/>
          <w:kern w:val="0"/>
          <w:sz w:val="32"/>
          <w:szCs w:val="32"/>
          <w:shd w:val="clear" w:color="auto" w:fill="FFFFFF"/>
          <w:lang w:bidi="ar"/>
        </w:rPr>
        <w:t>、承办区委和区政府交办的其他事项。</w:t>
      </w:r>
    </w:p>
    <w:p w:rsidR="008F6D82" w:rsidRDefault="00261D61">
      <w:pPr>
        <w:ind w:firstLineChars="200" w:firstLine="640"/>
        <w:rPr>
          <w:rFonts w:ascii="黑体" w:eastAsia="黑体" w:hAnsi="黑体"/>
          <w:sz w:val="32"/>
          <w:szCs w:val="32"/>
        </w:rPr>
      </w:pPr>
      <w:r>
        <w:rPr>
          <w:rFonts w:ascii="黑体" w:eastAsia="黑体" w:hAnsi="黑体" w:hint="eastAsia"/>
          <w:sz w:val="32"/>
          <w:szCs w:val="32"/>
        </w:rPr>
        <w:t>二、财务收支情况说明</w:t>
      </w:r>
    </w:p>
    <w:p w:rsidR="008F6D82" w:rsidRDefault="00261D61">
      <w:pPr>
        <w:pStyle w:val="a5"/>
        <w:widowControl/>
        <w:topLinePunct/>
        <w:spacing w:before="450" w:beforeAutospacing="0" w:afterAutospacing="0" w:line="140" w:lineRule="exact"/>
        <w:ind w:left="641"/>
        <w:jc w:val="both"/>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w:t>
      </w:r>
      <w:r>
        <w:rPr>
          <w:rFonts w:ascii="宋体" w:hAnsi="宋体" w:cs="宋体" w:hint="eastAsia"/>
          <w:sz w:val="32"/>
          <w:szCs w:val="32"/>
        </w:rPr>
        <w:t>部门整体支出概况</w:t>
      </w:r>
    </w:p>
    <w:p w:rsidR="008F6D82" w:rsidRDefault="00261D61">
      <w:pPr>
        <w:spacing w:line="360" w:lineRule="auto"/>
        <w:ind w:firstLineChars="200" w:firstLine="600"/>
        <w:rPr>
          <w:rFonts w:ascii="宋体" w:hAnsi="宋体" w:cs="宋体"/>
          <w:sz w:val="30"/>
          <w:szCs w:val="30"/>
        </w:rPr>
      </w:pPr>
      <w:r>
        <w:rPr>
          <w:rFonts w:ascii="宋体" w:hAnsi="宋体" w:cs="宋体" w:hint="eastAsia"/>
          <w:sz w:val="30"/>
          <w:szCs w:val="30"/>
        </w:rPr>
        <w:t>202</w:t>
      </w:r>
      <w:r w:rsidR="00522BA7">
        <w:rPr>
          <w:rFonts w:ascii="宋体" w:hAnsi="宋体" w:cs="宋体" w:hint="eastAsia"/>
          <w:sz w:val="30"/>
          <w:szCs w:val="30"/>
        </w:rPr>
        <w:t>3</w:t>
      </w:r>
      <w:r>
        <w:rPr>
          <w:rFonts w:ascii="宋体" w:hAnsi="宋体" w:cs="宋体" w:hint="eastAsia"/>
          <w:sz w:val="30"/>
          <w:szCs w:val="30"/>
        </w:rPr>
        <w:t>年全年预算数为</w:t>
      </w:r>
      <w:r w:rsidR="00522BA7">
        <w:rPr>
          <w:rFonts w:ascii="宋体" w:hAnsi="宋体" w:cs="宋体" w:hint="eastAsia"/>
          <w:sz w:val="30"/>
          <w:szCs w:val="30"/>
        </w:rPr>
        <w:t>238.62</w:t>
      </w:r>
      <w:r>
        <w:rPr>
          <w:rFonts w:ascii="宋体" w:hAnsi="宋体" w:cs="宋体" w:hint="eastAsia"/>
          <w:sz w:val="30"/>
          <w:szCs w:val="30"/>
        </w:rPr>
        <w:t>万元，其中，基本支出预算数为</w:t>
      </w:r>
      <w:r w:rsidR="00522BA7">
        <w:rPr>
          <w:rFonts w:ascii="宋体" w:hAnsi="宋体" w:cs="宋体" w:hint="eastAsia"/>
          <w:sz w:val="30"/>
          <w:szCs w:val="30"/>
        </w:rPr>
        <w:t>225.22</w:t>
      </w:r>
      <w:r>
        <w:rPr>
          <w:rFonts w:ascii="宋体" w:hAnsi="宋体" w:cs="宋体" w:hint="eastAsia"/>
          <w:sz w:val="30"/>
          <w:szCs w:val="30"/>
        </w:rPr>
        <w:t>万元，项目支出预算数</w:t>
      </w:r>
      <w:r w:rsidR="00522BA7">
        <w:rPr>
          <w:rFonts w:ascii="宋体" w:hAnsi="宋体" w:cs="宋体" w:hint="eastAsia"/>
          <w:sz w:val="30"/>
          <w:szCs w:val="30"/>
        </w:rPr>
        <w:t>13.4</w:t>
      </w:r>
      <w:r>
        <w:rPr>
          <w:rFonts w:ascii="宋体" w:hAnsi="宋体" w:cs="宋体" w:hint="eastAsia"/>
          <w:sz w:val="30"/>
          <w:szCs w:val="30"/>
        </w:rPr>
        <w:t>万元。资金总体支出</w:t>
      </w:r>
      <w:r w:rsidR="00522BA7" w:rsidRPr="00522BA7">
        <w:rPr>
          <w:rFonts w:ascii="宋体" w:hAnsi="宋体" w:cs="宋体"/>
          <w:sz w:val="30"/>
          <w:szCs w:val="30"/>
        </w:rPr>
        <w:t>1203.61</w:t>
      </w:r>
      <w:r>
        <w:rPr>
          <w:rFonts w:ascii="宋体" w:hAnsi="宋体" w:cs="宋体" w:hint="eastAsia"/>
          <w:sz w:val="30"/>
          <w:szCs w:val="30"/>
        </w:rPr>
        <w:t>万元，其中，基本支出</w:t>
      </w:r>
      <w:r w:rsidR="00522BA7" w:rsidRPr="00522BA7">
        <w:rPr>
          <w:rFonts w:ascii="宋体" w:hAnsi="宋体" w:cs="宋体"/>
          <w:sz w:val="30"/>
          <w:szCs w:val="30"/>
        </w:rPr>
        <w:t>280.2</w:t>
      </w:r>
      <w:r>
        <w:rPr>
          <w:rFonts w:ascii="宋体" w:hAnsi="宋体" w:cs="宋体" w:hint="eastAsia"/>
          <w:sz w:val="30"/>
          <w:szCs w:val="30"/>
        </w:rPr>
        <w:t>万元，项目支出</w:t>
      </w:r>
      <w:r w:rsidR="00522BA7" w:rsidRPr="00522BA7">
        <w:rPr>
          <w:rFonts w:ascii="宋体" w:hAnsi="宋体" w:cs="宋体"/>
          <w:sz w:val="30"/>
          <w:szCs w:val="30"/>
        </w:rPr>
        <w:t>923.41</w:t>
      </w:r>
      <w:r>
        <w:rPr>
          <w:rFonts w:ascii="宋体" w:hAnsi="宋体" w:cs="宋体" w:hint="eastAsia"/>
          <w:sz w:val="30"/>
          <w:szCs w:val="30"/>
        </w:rPr>
        <w:t>万元。预算执行率为</w:t>
      </w:r>
      <w:r w:rsidR="00522BA7">
        <w:rPr>
          <w:rFonts w:ascii="宋体" w:hAnsi="宋体" w:cs="宋体" w:hint="eastAsia"/>
          <w:sz w:val="30"/>
          <w:szCs w:val="30"/>
        </w:rPr>
        <w:t>504.4</w:t>
      </w:r>
      <w:r>
        <w:rPr>
          <w:rFonts w:ascii="宋体" w:hAnsi="宋体" w:cs="宋体" w:hint="eastAsia"/>
          <w:sz w:val="30"/>
          <w:szCs w:val="30"/>
        </w:rPr>
        <w:t>%</w:t>
      </w:r>
      <w:r>
        <w:rPr>
          <w:rFonts w:ascii="宋体" w:hAnsi="宋体" w:cs="宋体" w:hint="eastAsia"/>
          <w:sz w:val="30"/>
          <w:szCs w:val="30"/>
        </w:rPr>
        <w:t>。</w:t>
      </w:r>
    </w:p>
    <w:p w:rsidR="008F6D82" w:rsidRDefault="00261D61">
      <w:pPr>
        <w:pStyle w:val="Default"/>
        <w:spacing w:line="600" w:lineRule="exact"/>
        <w:ind w:firstLineChars="200" w:firstLine="640"/>
        <w:rPr>
          <w:rFonts w:hAnsi="黑体" w:cs="Times New Roman"/>
          <w:color w:val="auto"/>
          <w:sz w:val="32"/>
          <w:szCs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w:t>
      </w:r>
      <w:r>
        <w:rPr>
          <w:rFonts w:hAnsi="黑体" w:hint="eastAsia"/>
          <w:b/>
          <w:bCs/>
          <w:color w:val="auto"/>
          <w:sz w:val="32"/>
          <w:szCs w:val="32"/>
          <w:shd w:val="clear" w:color="auto" w:fill="FFFFFF"/>
        </w:rPr>
        <w:t>支出绩效情况</w:t>
      </w:r>
    </w:p>
    <w:p w:rsidR="008F6D82" w:rsidRDefault="00261D61">
      <w:pPr>
        <w:pStyle w:val="Default"/>
        <w:spacing w:line="600" w:lineRule="exact"/>
        <w:ind w:firstLineChars="200" w:firstLine="640"/>
        <w:rPr>
          <w:rFonts w:asciiTheme="minorEastAsia" w:eastAsiaTheme="minorEastAsia" w:hAnsiTheme="minorEastAsia" w:cstheme="minorEastAsia"/>
          <w:color w:val="auto"/>
          <w:sz w:val="32"/>
          <w:szCs w:val="32"/>
          <w:shd w:val="clear" w:color="auto" w:fill="FFFFFF"/>
        </w:rPr>
      </w:pPr>
      <w:r>
        <w:rPr>
          <w:rFonts w:asciiTheme="minorEastAsia" w:eastAsiaTheme="minorEastAsia" w:hAnsiTheme="minorEastAsia" w:cstheme="minorEastAsia" w:hint="eastAsia"/>
          <w:color w:val="auto"/>
          <w:sz w:val="32"/>
          <w:szCs w:val="32"/>
          <w:shd w:val="clear" w:color="auto" w:fill="FFFFFF"/>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rsidR="008F6D82" w:rsidRDefault="008F6D82">
      <w:pPr>
        <w:pStyle w:val="Default"/>
        <w:spacing w:line="600" w:lineRule="exact"/>
        <w:ind w:leftChars="200" w:left="420"/>
        <w:rPr>
          <w:rFonts w:ascii="仿宋" w:eastAsia="仿宋" w:hAnsi="仿宋" w:cs="仿宋"/>
          <w:sz w:val="32"/>
        </w:rPr>
      </w:pPr>
    </w:p>
    <w:p w:rsidR="008F6D82" w:rsidRDefault="00261D61">
      <w:pPr>
        <w:pStyle w:val="Default"/>
        <w:spacing w:line="600" w:lineRule="exact"/>
        <w:ind w:firstLineChars="200" w:firstLine="640"/>
        <w:rPr>
          <w:rFonts w:hAnsi="黑体" w:cs="Times New Roman"/>
          <w:color w:val="auto"/>
          <w:sz w:val="32"/>
          <w:szCs w:val="32"/>
        </w:rPr>
      </w:pPr>
      <w:r>
        <w:rPr>
          <w:rFonts w:hAnsi="黑体" w:cs="Times New Roman" w:hint="eastAsia"/>
          <w:color w:val="auto"/>
          <w:sz w:val="32"/>
          <w:szCs w:val="32"/>
        </w:rPr>
        <w:t>三、</w:t>
      </w:r>
      <w:r>
        <w:rPr>
          <w:rFonts w:hAnsi="黑体" w:cs="Times New Roman"/>
          <w:color w:val="auto"/>
          <w:sz w:val="32"/>
          <w:szCs w:val="32"/>
        </w:rPr>
        <w:t>关于</w:t>
      </w:r>
      <w:r>
        <w:rPr>
          <w:rFonts w:hAnsi="黑体" w:cs="Times New Roman" w:hint="eastAsia"/>
          <w:color w:val="auto"/>
          <w:sz w:val="32"/>
          <w:szCs w:val="32"/>
        </w:rPr>
        <w:t>202</w:t>
      </w:r>
      <w:r w:rsidR="00522BA7">
        <w:rPr>
          <w:rFonts w:hAnsi="黑体" w:cs="Times New Roman" w:hint="eastAsia"/>
          <w:color w:val="auto"/>
          <w:sz w:val="32"/>
          <w:szCs w:val="32"/>
        </w:rPr>
        <w:t>3</w:t>
      </w:r>
      <w:r>
        <w:rPr>
          <w:rFonts w:hAnsi="黑体" w:cs="Times New Roman"/>
          <w:color w:val="auto"/>
          <w:sz w:val="32"/>
          <w:szCs w:val="32"/>
        </w:rPr>
        <w:t>年度预算绩效情况说</w:t>
      </w:r>
      <w:r>
        <w:rPr>
          <w:rFonts w:hAnsi="黑体" w:cs="Times New Roman" w:hint="eastAsia"/>
          <w:color w:val="auto"/>
          <w:sz w:val="32"/>
          <w:szCs w:val="32"/>
        </w:rPr>
        <w:t>明</w:t>
      </w:r>
    </w:p>
    <w:p w:rsidR="008F6D82" w:rsidRDefault="00261D61">
      <w:pPr>
        <w:widowControl/>
        <w:shd w:val="clear" w:color="auto" w:fill="FFFFFF"/>
        <w:spacing w:beforeLines="50" w:before="156" w:afterLines="50" w:after="156"/>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部门整体支出和项目支出实行绩效目标管理，纳入</w:t>
      </w:r>
      <w:r>
        <w:rPr>
          <w:rFonts w:ascii="仿宋_GB2312" w:eastAsia="仿宋_GB2312" w:hAnsi="仿宋_GB2312" w:cs="仿宋_GB2312" w:hint="eastAsia"/>
          <w:kern w:val="0"/>
          <w:sz w:val="32"/>
          <w:szCs w:val="32"/>
        </w:rPr>
        <w:t>202</w:t>
      </w:r>
      <w:r w:rsidR="00522BA7">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年部门整体支出绩效目标的金额</w:t>
      </w:r>
      <w:r w:rsidR="00522BA7" w:rsidRPr="00522BA7">
        <w:rPr>
          <w:rFonts w:ascii="宋体" w:hAnsi="宋体" w:cs="宋体"/>
          <w:sz w:val="30"/>
          <w:szCs w:val="30"/>
        </w:rPr>
        <w:t>1203.61</w:t>
      </w:r>
      <w:r>
        <w:rPr>
          <w:rFonts w:ascii="仿宋_GB2312" w:eastAsia="仿宋_GB2312" w:hAnsi="仿宋_GB2312" w:cs="仿宋_GB2312" w:hint="eastAsia"/>
          <w:kern w:val="0"/>
          <w:sz w:val="32"/>
          <w:szCs w:val="32"/>
        </w:rPr>
        <w:t>万元，其中，基本支出</w:t>
      </w:r>
      <w:r w:rsidR="00522BA7" w:rsidRPr="00522BA7">
        <w:rPr>
          <w:rFonts w:ascii="宋体" w:hAnsi="宋体" w:cs="宋体"/>
          <w:sz w:val="30"/>
          <w:szCs w:val="30"/>
        </w:rPr>
        <w:t>280.2</w:t>
      </w:r>
      <w:r>
        <w:rPr>
          <w:rFonts w:ascii="仿宋_GB2312" w:eastAsia="仿宋_GB2312" w:hAnsi="仿宋_GB2312" w:cs="仿宋_GB2312" w:hint="eastAsia"/>
          <w:kern w:val="0"/>
          <w:sz w:val="32"/>
          <w:szCs w:val="32"/>
        </w:rPr>
        <w:t>万元，项目支出</w:t>
      </w:r>
      <w:r w:rsidR="00522BA7" w:rsidRPr="00522BA7">
        <w:rPr>
          <w:rFonts w:ascii="宋体" w:hAnsi="宋体" w:cs="宋体"/>
          <w:sz w:val="30"/>
          <w:szCs w:val="30"/>
        </w:rPr>
        <w:t>923.41</w:t>
      </w:r>
      <w:r>
        <w:rPr>
          <w:rFonts w:ascii="仿宋_GB2312" w:eastAsia="仿宋_GB2312" w:hAnsi="仿宋_GB2312" w:cs="仿宋_GB2312" w:hint="eastAsia"/>
          <w:kern w:val="0"/>
          <w:sz w:val="32"/>
          <w:szCs w:val="32"/>
        </w:rPr>
        <w:t>万元。</w:t>
      </w:r>
    </w:p>
    <w:p w:rsidR="008F6D82" w:rsidRDefault="00261D61">
      <w:pPr>
        <w:pStyle w:val="Default"/>
        <w:spacing w:line="600" w:lineRule="exact"/>
        <w:ind w:firstLineChars="200" w:firstLine="640"/>
        <w:rPr>
          <w:rFonts w:hAnsi="黑体"/>
          <w:color w:val="auto"/>
          <w:sz w:val="32"/>
          <w:szCs w:val="32"/>
          <w:shd w:val="clear" w:color="auto" w:fill="FFFFFF"/>
        </w:rPr>
      </w:pPr>
      <w:r>
        <w:rPr>
          <w:rFonts w:hAnsi="黑体" w:hint="eastAsia"/>
          <w:color w:val="auto"/>
          <w:sz w:val="32"/>
          <w:szCs w:val="32"/>
          <w:shd w:val="clear" w:color="auto" w:fill="FFFFFF"/>
        </w:rPr>
        <w:t>四、绩效完成情况</w:t>
      </w:r>
    </w:p>
    <w:p w:rsidR="00522BA7" w:rsidRPr="00522BA7" w:rsidRDefault="00522BA7" w:rsidP="00522BA7">
      <w:pPr>
        <w:spacing w:line="580" w:lineRule="exact"/>
        <w:ind w:firstLineChars="200" w:firstLine="640"/>
        <w:rPr>
          <w:rFonts w:asciiTheme="minorEastAsia" w:eastAsiaTheme="minorEastAsia" w:hAnsiTheme="minorEastAsia" w:cs="仿宋_GB2312"/>
          <w:sz w:val="32"/>
          <w:szCs w:val="32"/>
        </w:rPr>
      </w:pPr>
      <w:r w:rsidRPr="00522BA7">
        <w:rPr>
          <w:rFonts w:asciiTheme="minorEastAsia" w:eastAsiaTheme="minorEastAsia" w:hAnsiTheme="minorEastAsia" w:cs="仿宋_GB2312" w:hint="eastAsia"/>
          <w:sz w:val="32"/>
          <w:szCs w:val="32"/>
        </w:rPr>
        <w:t>2023年，在区委、区政府的坚强领导和市商务局的关心指导下，区商务局坚持以习近平新时代中国特色社会主义思想为指导，围绕实施“三高四新”战略和“五城三园三中心”建设目标，深入贯彻党的二十大精神及省市商务工作会议精神，全面落实科学发展观，积极应对国际经济形势变化，落实区委、区政府的工作部署，齐心协力，迎难而上，实现了商务事业的新发展。</w:t>
      </w:r>
    </w:p>
    <w:p w:rsidR="00522BA7" w:rsidRPr="00522BA7" w:rsidRDefault="00522BA7" w:rsidP="00522BA7">
      <w:pPr>
        <w:spacing w:line="580" w:lineRule="exact"/>
        <w:ind w:firstLineChars="200" w:firstLine="640"/>
        <w:rPr>
          <w:rFonts w:asciiTheme="minorEastAsia" w:eastAsiaTheme="minorEastAsia" w:hAnsiTheme="minorEastAsia"/>
          <w:sz w:val="32"/>
          <w:szCs w:val="32"/>
        </w:rPr>
      </w:pPr>
      <w:r w:rsidRPr="00522BA7">
        <w:rPr>
          <w:rFonts w:asciiTheme="minorEastAsia" w:eastAsiaTheme="minorEastAsia" w:hAnsiTheme="minorEastAsia" w:cs="黑体" w:hint="eastAsia"/>
          <w:sz w:val="32"/>
          <w:szCs w:val="32"/>
        </w:rPr>
        <w:t>（</w:t>
      </w:r>
      <w:r w:rsidRPr="00522BA7">
        <w:rPr>
          <w:rFonts w:asciiTheme="minorEastAsia" w:eastAsiaTheme="minorEastAsia" w:hAnsiTheme="minorEastAsia" w:cs="黑体" w:hint="eastAsia"/>
          <w:sz w:val="32"/>
          <w:szCs w:val="32"/>
        </w:rPr>
        <w:t>一</w:t>
      </w:r>
      <w:r w:rsidRPr="00522BA7">
        <w:rPr>
          <w:rFonts w:asciiTheme="minorEastAsia" w:eastAsiaTheme="minorEastAsia" w:hAnsiTheme="minorEastAsia" w:cs="黑体" w:hint="eastAsia"/>
          <w:sz w:val="32"/>
          <w:szCs w:val="32"/>
        </w:rPr>
        <w:t>）</w:t>
      </w:r>
      <w:r w:rsidRPr="00522BA7">
        <w:rPr>
          <w:rFonts w:asciiTheme="minorEastAsia" w:eastAsiaTheme="minorEastAsia" w:hAnsiTheme="minorEastAsia" w:cs="黑体" w:hint="eastAsia"/>
          <w:sz w:val="32"/>
          <w:szCs w:val="32"/>
        </w:rPr>
        <w:t>、商务经济指标完成情况</w:t>
      </w:r>
    </w:p>
    <w:p w:rsidR="00522BA7" w:rsidRPr="00522BA7" w:rsidRDefault="00522BA7" w:rsidP="00522BA7">
      <w:pPr>
        <w:spacing w:line="580" w:lineRule="exact"/>
        <w:ind w:firstLine="645"/>
        <w:rPr>
          <w:rFonts w:asciiTheme="minorEastAsia" w:eastAsiaTheme="minorEastAsia" w:hAnsiTheme="minorEastAsia" w:cs="仿宋_GB2312"/>
          <w:sz w:val="32"/>
          <w:szCs w:val="32"/>
        </w:rPr>
      </w:pPr>
      <w:r w:rsidRPr="00522BA7">
        <w:rPr>
          <w:rFonts w:asciiTheme="minorEastAsia" w:eastAsiaTheme="minorEastAsia" w:hAnsiTheme="minorEastAsia" w:cs="仿宋_GB2312" w:hint="eastAsia"/>
          <w:bCs/>
          <w:sz w:val="32"/>
          <w:szCs w:val="32"/>
        </w:rPr>
        <w:t>1.内联引资情况：</w:t>
      </w:r>
      <w:r w:rsidRPr="00522BA7">
        <w:rPr>
          <w:rFonts w:asciiTheme="minorEastAsia" w:eastAsiaTheme="minorEastAsia" w:hAnsiTheme="minorEastAsia" w:cs="仿宋_GB2312" w:hint="eastAsia"/>
          <w:sz w:val="32"/>
          <w:szCs w:val="32"/>
        </w:rPr>
        <w:t>引进内资94.06亿元，同比增长16.08%，排名全市第九。完成新引进签约项目21个，意向总投资37.14亿元，新引进三类500强企业投资项目1个。</w:t>
      </w:r>
    </w:p>
    <w:p w:rsidR="00522BA7" w:rsidRPr="00522BA7" w:rsidRDefault="00522BA7" w:rsidP="00522BA7">
      <w:pPr>
        <w:spacing w:line="580" w:lineRule="exact"/>
        <w:ind w:firstLine="645"/>
        <w:rPr>
          <w:rFonts w:asciiTheme="minorEastAsia" w:eastAsiaTheme="minorEastAsia" w:hAnsiTheme="minorEastAsia" w:cs="仿宋_GB2312"/>
          <w:color w:val="000000"/>
          <w:kern w:val="0"/>
          <w:sz w:val="32"/>
          <w:szCs w:val="32"/>
        </w:rPr>
      </w:pPr>
      <w:r w:rsidRPr="00522BA7">
        <w:rPr>
          <w:rFonts w:asciiTheme="minorEastAsia" w:eastAsiaTheme="minorEastAsia" w:hAnsiTheme="minorEastAsia" w:cs="仿宋_GB2312" w:hint="eastAsia"/>
          <w:bCs/>
          <w:color w:val="000000"/>
          <w:kern w:val="0"/>
          <w:sz w:val="32"/>
          <w:szCs w:val="32"/>
        </w:rPr>
        <w:t>2.外商直接投资情况：</w:t>
      </w:r>
      <w:r w:rsidRPr="00522BA7">
        <w:rPr>
          <w:rFonts w:asciiTheme="minorEastAsia" w:eastAsiaTheme="minorEastAsia" w:hAnsiTheme="minorEastAsia" w:cs="仿宋_GB2312" w:hint="eastAsia"/>
          <w:color w:val="000000"/>
          <w:kern w:val="0"/>
          <w:sz w:val="32"/>
          <w:szCs w:val="32"/>
        </w:rPr>
        <w:t>实际利用外资10万美元，排名全市第九。</w:t>
      </w:r>
    </w:p>
    <w:p w:rsidR="00522BA7" w:rsidRPr="00522BA7" w:rsidRDefault="00522BA7" w:rsidP="00522BA7">
      <w:pPr>
        <w:spacing w:line="580" w:lineRule="exact"/>
        <w:ind w:firstLine="645"/>
        <w:rPr>
          <w:rFonts w:asciiTheme="minorEastAsia" w:eastAsiaTheme="minorEastAsia" w:hAnsiTheme="minorEastAsia" w:cs="仿宋_GB2312"/>
          <w:sz w:val="32"/>
          <w:szCs w:val="32"/>
        </w:rPr>
      </w:pPr>
      <w:r w:rsidRPr="00522BA7">
        <w:rPr>
          <w:rFonts w:asciiTheme="minorEastAsia" w:eastAsiaTheme="minorEastAsia" w:hAnsiTheme="minorEastAsia" w:cs="仿宋_GB2312" w:hint="eastAsia"/>
          <w:bCs/>
          <w:color w:val="000000"/>
          <w:kern w:val="0"/>
          <w:sz w:val="32"/>
          <w:szCs w:val="32"/>
        </w:rPr>
        <w:t>3.外贸进出口总额：</w:t>
      </w:r>
      <w:r w:rsidRPr="00522BA7">
        <w:rPr>
          <w:rFonts w:asciiTheme="minorEastAsia" w:eastAsiaTheme="minorEastAsia" w:hAnsiTheme="minorEastAsia" w:cs="仿宋_GB2312" w:hint="eastAsia"/>
          <w:color w:val="000000"/>
          <w:kern w:val="0"/>
          <w:sz w:val="32"/>
          <w:szCs w:val="32"/>
        </w:rPr>
        <w:t>外贸进出口总额8.48亿元，同比增长19.8%，排名全市第四，</w:t>
      </w:r>
      <w:r w:rsidRPr="00522BA7">
        <w:rPr>
          <w:rFonts w:asciiTheme="minorEastAsia" w:eastAsiaTheme="minorEastAsia" w:hAnsiTheme="minorEastAsia" w:cs="仿宋_GB2312" w:hint="eastAsia"/>
          <w:sz w:val="32"/>
          <w:szCs w:val="32"/>
        </w:rPr>
        <w:t>外贸企业实绩企业19家。</w:t>
      </w:r>
    </w:p>
    <w:p w:rsidR="00522BA7" w:rsidRPr="00522BA7" w:rsidRDefault="00522BA7" w:rsidP="00522BA7">
      <w:pPr>
        <w:spacing w:line="580" w:lineRule="exact"/>
        <w:ind w:firstLine="645"/>
        <w:rPr>
          <w:rFonts w:asciiTheme="minorEastAsia" w:eastAsiaTheme="minorEastAsia" w:hAnsiTheme="minorEastAsia" w:cs="仿宋_GB2312"/>
          <w:sz w:val="32"/>
          <w:szCs w:val="32"/>
        </w:rPr>
      </w:pPr>
      <w:r w:rsidRPr="00522BA7">
        <w:rPr>
          <w:rFonts w:asciiTheme="minorEastAsia" w:eastAsiaTheme="minorEastAsia" w:hAnsiTheme="minorEastAsia" w:cs="仿宋_GB2312" w:hint="eastAsia"/>
          <w:bCs/>
          <w:color w:val="000000"/>
          <w:kern w:val="0"/>
          <w:sz w:val="32"/>
          <w:szCs w:val="32"/>
        </w:rPr>
        <w:t>4.社会消费品零售总额：</w:t>
      </w:r>
      <w:r w:rsidRPr="00522BA7">
        <w:rPr>
          <w:rFonts w:asciiTheme="minorEastAsia" w:eastAsiaTheme="minorEastAsia" w:hAnsiTheme="minorEastAsia" w:cs="仿宋_GB2312" w:hint="eastAsia"/>
          <w:color w:val="000000"/>
          <w:kern w:val="0"/>
          <w:sz w:val="32"/>
          <w:szCs w:val="32"/>
        </w:rPr>
        <w:t>完成社会消费品零售总额113亿元，累计增速5.4%，</w:t>
      </w:r>
      <w:r w:rsidRPr="00522BA7">
        <w:rPr>
          <w:rFonts w:asciiTheme="minorEastAsia" w:eastAsiaTheme="minorEastAsia" w:hAnsiTheme="minorEastAsia" w:cs="仿宋_GB2312" w:hint="eastAsia"/>
          <w:sz w:val="32"/>
          <w:szCs w:val="32"/>
        </w:rPr>
        <w:t>排名全市第十，新增入库限额以上企业19家。</w:t>
      </w:r>
    </w:p>
    <w:p w:rsidR="00522BA7" w:rsidRPr="00522BA7" w:rsidRDefault="00522BA7" w:rsidP="00522BA7">
      <w:pPr>
        <w:spacing w:line="580" w:lineRule="exact"/>
        <w:ind w:firstLineChars="200" w:firstLine="640"/>
        <w:rPr>
          <w:rFonts w:asciiTheme="minorEastAsia" w:eastAsiaTheme="minorEastAsia" w:hAnsiTheme="minorEastAsia"/>
          <w:sz w:val="32"/>
          <w:szCs w:val="32"/>
        </w:rPr>
      </w:pPr>
      <w:r w:rsidRPr="00522BA7">
        <w:rPr>
          <w:rFonts w:asciiTheme="minorEastAsia" w:eastAsiaTheme="minorEastAsia" w:hAnsiTheme="minorEastAsia" w:cs="黑体" w:hint="eastAsia"/>
          <w:sz w:val="32"/>
          <w:szCs w:val="32"/>
        </w:rPr>
        <w:t>（</w:t>
      </w:r>
      <w:r w:rsidRPr="00522BA7">
        <w:rPr>
          <w:rFonts w:asciiTheme="minorEastAsia" w:eastAsiaTheme="minorEastAsia" w:hAnsiTheme="minorEastAsia" w:cs="黑体" w:hint="eastAsia"/>
          <w:sz w:val="32"/>
          <w:szCs w:val="32"/>
        </w:rPr>
        <w:t>二</w:t>
      </w:r>
      <w:r w:rsidRPr="00522BA7">
        <w:rPr>
          <w:rFonts w:asciiTheme="minorEastAsia" w:eastAsiaTheme="minorEastAsia" w:hAnsiTheme="minorEastAsia" w:cs="黑体" w:hint="eastAsia"/>
          <w:sz w:val="32"/>
          <w:szCs w:val="32"/>
        </w:rPr>
        <w:t>）</w:t>
      </w:r>
      <w:r w:rsidRPr="00522BA7">
        <w:rPr>
          <w:rFonts w:asciiTheme="minorEastAsia" w:eastAsiaTheme="minorEastAsia" w:hAnsiTheme="minorEastAsia" w:cs="黑体" w:hint="eastAsia"/>
          <w:sz w:val="32"/>
          <w:szCs w:val="32"/>
        </w:rPr>
        <w:t>、主要工作开展情况</w:t>
      </w:r>
    </w:p>
    <w:p w:rsidR="00522BA7" w:rsidRPr="00522BA7" w:rsidRDefault="00522BA7" w:rsidP="00522BA7">
      <w:pPr>
        <w:spacing w:line="580" w:lineRule="exact"/>
        <w:ind w:firstLineChars="200" w:firstLine="640"/>
        <w:rPr>
          <w:rFonts w:asciiTheme="minorEastAsia" w:eastAsiaTheme="minorEastAsia" w:hAnsiTheme="minorEastAsia" w:cs="楷体_GB2312"/>
          <w:bCs/>
          <w:sz w:val="32"/>
          <w:szCs w:val="32"/>
        </w:rPr>
      </w:pPr>
      <w:r w:rsidRPr="00522BA7">
        <w:rPr>
          <w:rFonts w:asciiTheme="minorEastAsia" w:eastAsiaTheme="minorEastAsia" w:hAnsiTheme="minorEastAsia" w:cs="楷体_GB2312" w:hint="eastAsia"/>
          <w:bCs/>
          <w:sz w:val="32"/>
          <w:szCs w:val="32"/>
        </w:rPr>
        <w:lastRenderedPageBreak/>
        <w:t>1、</w:t>
      </w:r>
      <w:r w:rsidRPr="00522BA7">
        <w:rPr>
          <w:rFonts w:asciiTheme="minorEastAsia" w:eastAsiaTheme="minorEastAsia" w:hAnsiTheme="minorEastAsia" w:cs="楷体_GB2312" w:hint="eastAsia"/>
          <w:bCs/>
          <w:sz w:val="32"/>
          <w:szCs w:val="32"/>
        </w:rPr>
        <w:t>大力开展招商引资，推动“湘商回归”</w:t>
      </w:r>
    </w:p>
    <w:p w:rsidR="00522BA7" w:rsidRPr="00522BA7" w:rsidRDefault="00522BA7" w:rsidP="00522BA7">
      <w:pPr>
        <w:spacing w:line="580" w:lineRule="exact"/>
        <w:ind w:firstLineChars="200" w:firstLine="640"/>
        <w:rPr>
          <w:rFonts w:asciiTheme="minorEastAsia" w:eastAsiaTheme="minorEastAsia" w:hAnsiTheme="minorEastAsia" w:cs="仿宋_GB2312"/>
          <w:color w:val="000000"/>
          <w:kern w:val="0"/>
          <w:sz w:val="32"/>
          <w:szCs w:val="32"/>
          <w:lang w:bidi="ar"/>
        </w:rPr>
      </w:pPr>
      <w:r w:rsidRPr="00522BA7">
        <w:rPr>
          <w:rFonts w:asciiTheme="minorEastAsia" w:eastAsiaTheme="minorEastAsia" w:hAnsiTheme="minorEastAsia" w:cs="仿宋_GB2312" w:hint="eastAsia"/>
          <w:bCs/>
          <w:sz w:val="32"/>
          <w:szCs w:val="32"/>
        </w:rPr>
        <w:t>一是实施“走出去、请进来”战略。</w:t>
      </w:r>
      <w:r w:rsidRPr="00522BA7">
        <w:rPr>
          <w:rFonts w:asciiTheme="minorEastAsia" w:eastAsiaTheme="minorEastAsia" w:hAnsiTheme="minorEastAsia" w:cs="仿宋_GB2312" w:hint="eastAsia"/>
          <w:color w:val="000000"/>
          <w:kern w:val="0"/>
          <w:sz w:val="32"/>
          <w:szCs w:val="32"/>
          <w:lang w:bidi="ar"/>
        </w:rPr>
        <w:t>区主要领导带队“走出去”招商，组团参加“2023湖南-粤港澳大湾区招商洽谈周活动”，先后赴杭州、萍乡、长沙、香港、深圳、广州等地招商。</w:t>
      </w:r>
      <w:r w:rsidRPr="00522BA7">
        <w:rPr>
          <w:rFonts w:asciiTheme="minorEastAsia" w:eastAsiaTheme="minorEastAsia" w:hAnsiTheme="minorEastAsia" w:cs="仿宋_GB2312" w:hint="eastAsia"/>
          <w:bCs/>
          <w:sz w:val="32"/>
          <w:szCs w:val="32"/>
        </w:rPr>
        <w:t>二是开展湘商回归行动。</w:t>
      </w:r>
      <w:r w:rsidRPr="00522BA7">
        <w:rPr>
          <w:rFonts w:asciiTheme="minorEastAsia" w:eastAsiaTheme="minorEastAsia" w:hAnsiTheme="minorEastAsia" w:cs="仿宋_GB2312" w:hint="eastAsia"/>
          <w:color w:val="000000"/>
          <w:kern w:val="0"/>
          <w:sz w:val="32"/>
          <w:szCs w:val="32"/>
          <w:lang w:bidi="ar"/>
        </w:rPr>
        <w:t>年初召开“推进湘商回归和返乡创业专项行动启动会”，建立湘籍客商联络花名册。在春节湘商返乡过节期间，积极对接客商，主动上门宣传湘商回归政策，热情邀请回乡投资考察，激发回归欲望。于4月清明节湘商回乡祭祖之际，召开大祥区湘商回归座谈会，通过洽谈对接，招引湘商签约落地投资。授予5家湘商企业家大祥区第一批招商大使证书，在10家企业建立“邵阳市大祥区湘商回归联络服务站”，以商招商，吸引湘商回乡投资。今年</w:t>
      </w:r>
      <w:r w:rsidRPr="00522BA7">
        <w:rPr>
          <w:rFonts w:asciiTheme="minorEastAsia" w:eastAsiaTheme="minorEastAsia" w:hAnsiTheme="minorEastAsia" w:cs="仿宋_GB2312" w:hint="eastAsia"/>
          <w:sz w:val="32"/>
          <w:szCs w:val="32"/>
          <w:shd w:val="clear" w:color="auto" w:fill="FFFFFF"/>
        </w:rPr>
        <w:t>通过“招商大使”和“联络服务站”介绍回乡考察的意向企业达16家。</w:t>
      </w:r>
      <w:r w:rsidRPr="00522BA7">
        <w:rPr>
          <w:rFonts w:asciiTheme="minorEastAsia" w:eastAsiaTheme="minorEastAsia" w:hAnsiTheme="minorEastAsia" w:cs="仿宋_GB2312" w:hint="eastAsia"/>
          <w:bCs/>
          <w:sz w:val="32"/>
          <w:szCs w:val="32"/>
        </w:rPr>
        <w:t>三是优化服务，不断为投资企业营造更好的发展环境。</w:t>
      </w:r>
      <w:r w:rsidRPr="00522BA7">
        <w:rPr>
          <w:rFonts w:asciiTheme="minorEastAsia" w:eastAsiaTheme="minorEastAsia" w:hAnsiTheme="minorEastAsia" w:cs="仿宋_GB2312" w:hint="eastAsia"/>
          <w:color w:val="000000"/>
          <w:kern w:val="0"/>
          <w:sz w:val="32"/>
          <w:szCs w:val="32"/>
          <w:lang w:bidi="ar"/>
        </w:rPr>
        <w:t>密切跟踪在谈重大项目，分类施策、一企一策，精准研究支持政策，及时协调解决项目推进过程中的困难和问题。对于在建重大项目，开展“点对点”服务保障，协调解决用地、用工、水电、物流等问题，保障企业投资按计划进行，让企业在大祥进得来、留得住、安心发展。</w:t>
      </w:r>
    </w:p>
    <w:p w:rsidR="00522BA7" w:rsidRPr="00522BA7" w:rsidRDefault="00522BA7" w:rsidP="00522BA7">
      <w:pPr>
        <w:spacing w:line="580" w:lineRule="exact"/>
        <w:ind w:firstLineChars="200" w:firstLine="640"/>
        <w:rPr>
          <w:rFonts w:asciiTheme="minorEastAsia" w:eastAsiaTheme="minorEastAsia" w:hAnsiTheme="minorEastAsia" w:cs="仿宋_GB2312"/>
          <w:sz w:val="32"/>
          <w:szCs w:val="32"/>
          <w:shd w:val="clear" w:color="auto" w:fill="FFFFFF"/>
        </w:rPr>
      </w:pPr>
      <w:r w:rsidRPr="00522BA7">
        <w:rPr>
          <w:rFonts w:asciiTheme="minorEastAsia" w:eastAsiaTheme="minorEastAsia" w:hAnsiTheme="minorEastAsia" w:cs="仿宋_GB2312" w:hint="eastAsia"/>
          <w:sz w:val="32"/>
          <w:szCs w:val="32"/>
          <w:shd w:val="clear" w:color="auto" w:fill="FFFFFF"/>
        </w:rPr>
        <w:t>2023年，我区完成新引进签约项目21个，意向总投资37.14亿元。其中：过亿签约项目14个，湘商回归新签约项目7个，湘商回归投资新注册企业5家，湘商回湘投资涉税市场主体企业数3家，湘商回湘投资项目实际到位资金25.54亿元。</w:t>
      </w:r>
    </w:p>
    <w:p w:rsidR="00522BA7" w:rsidRPr="00522BA7" w:rsidRDefault="00522BA7" w:rsidP="00522BA7">
      <w:pPr>
        <w:pStyle w:val="2"/>
        <w:spacing w:line="580" w:lineRule="exact"/>
        <w:ind w:firstLine="640"/>
        <w:rPr>
          <w:rFonts w:asciiTheme="minorEastAsia" w:eastAsiaTheme="minorEastAsia" w:hAnsiTheme="minorEastAsia"/>
          <w:szCs w:val="32"/>
        </w:rPr>
      </w:pPr>
    </w:p>
    <w:p w:rsidR="00522BA7" w:rsidRPr="00522BA7" w:rsidRDefault="00522BA7" w:rsidP="00522BA7">
      <w:pPr>
        <w:spacing w:line="580" w:lineRule="exact"/>
        <w:ind w:firstLineChars="200" w:firstLine="640"/>
        <w:rPr>
          <w:rFonts w:asciiTheme="minorEastAsia" w:eastAsiaTheme="minorEastAsia" w:hAnsiTheme="minorEastAsia" w:cs="楷体_GB2312"/>
          <w:bCs/>
          <w:sz w:val="32"/>
          <w:szCs w:val="32"/>
        </w:rPr>
      </w:pPr>
      <w:r w:rsidRPr="00522BA7">
        <w:rPr>
          <w:rFonts w:asciiTheme="minorEastAsia" w:eastAsiaTheme="minorEastAsia" w:hAnsiTheme="minorEastAsia" w:cs="楷体_GB2312" w:hint="eastAsia"/>
          <w:bCs/>
          <w:sz w:val="32"/>
          <w:szCs w:val="32"/>
        </w:rPr>
        <w:t>2、</w:t>
      </w:r>
      <w:r w:rsidRPr="00522BA7">
        <w:rPr>
          <w:rFonts w:asciiTheme="minorEastAsia" w:eastAsiaTheme="minorEastAsia" w:hAnsiTheme="minorEastAsia" w:cs="楷体_GB2312" w:hint="eastAsia"/>
          <w:bCs/>
          <w:sz w:val="32"/>
          <w:szCs w:val="32"/>
        </w:rPr>
        <w:t>努力扩大出口，实现外贸进出口稳步增长</w:t>
      </w:r>
    </w:p>
    <w:p w:rsidR="00522BA7" w:rsidRPr="00522BA7" w:rsidRDefault="00522BA7" w:rsidP="00522BA7">
      <w:pPr>
        <w:spacing w:line="580" w:lineRule="exact"/>
        <w:ind w:firstLine="645"/>
        <w:rPr>
          <w:rFonts w:asciiTheme="minorEastAsia" w:eastAsiaTheme="minorEastAsia" w:hAnsiTheme="minorEastAsia" w:cs="仿宋_GB2312"/>
          <w:sz w:val="32"/>
          <w:szCs w:val="32"/>
        </w:rPr>
      </w:pPr>
      <w:r w:rsidRPr="00522BA7">
        <w:rPr>
          <w:rFonts w:asciiTheme="minorEastAsia" w:eastAsiaTheme="minorEastAsia" w:hAnsiTheme="minorEastAsia" w:cs="仿宋_GB2312" w:hint="eastAsia"/>
          <w:sz w:val="32"/>
          <w:szCs w:val="32"/>
        </w:rPr>
        <w:t>到目前为止，国际贸易环境仍不乐观，对外贸易工作压力很大。为保持全区外贸进出口平稳协调发展，我们以“保存量、促增量、调结构”为主线，加快转变外贸发展方式，努力扩大出口。</w:t>
      </w:r>
      <w:r w:rsidRPr="00522BA7">
        <w:rPr>
          <w:rFonts w:asciiTheme="minorEastAsia" w:eastAsiaTheme="minorEastAsia" w:hAnsiTheme="minorEastAsia" w:cs="仿宋_GB2312" w:hint="eastAsia"/>
          <w:bCs/>
          <w:sz w:val="32"/>
          <w:szCs w:val="32"/>
        </w:rPr>
        <w:t>一是分解落实年度目标任务。</w:t>
      </w:r>
      <w:r w:rsidRPr="00522BA7">
        <w:rPr>
          <w:rFonts w:asciiTheme="minorEastAsia" w:eastAsiaTheme="minorEastAsia" w:hAnsiTheme="minorEastAsia" w:cs="仿宋_GB2312" w:hint="eastAsia"/>
          <w:sz w:val="32"/>
          <w:szCs w:val="32"/>
        </w:rPr>
        <w:t>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r w:rsidRPr="00522BA7">
        <w:rPr>
          <w:rFonts w:asciiTheme="minorEastAsia" w:eastAsiaTheme="minorEastAsia" w:hAnsiTheme="minorEastAsia" w:cs="仿宋_GB2312" w:hint="eastAsia"/>
          <w:bCs/>
          <w:sz w:val="32"/>
          <w:szCs w:val="32"/>
        </w:rPr>
        <w:t>二是优质服务外贸企业。</w:t>
      </w:r>
      <w:r w:rsidRPr="00522BA7">
        <w:rPr>
          <w:rFonts w:asciiTheme="minorEastAsia" w:eastAsiaTheme="minorEastAsia" w:hAnsiTheme="minorEastAsia" w:cs="仿宋_GB2312" w:hint="eastAsia"/>
          <w:sz w:val="32"/>
          <w:szCs w:val="32"/>
        </w:rPr>
        <w:t>在国际金融危机影响持续加深及当前经济形势起稳回升形势下，多次深入企业，帮助企业解决资金难题及经营困难努力寻找扩大出口的有效途径。今年上半年，区级领导带队对全区有实绩的外贸企业进行了走访调研，对企业的经营及代理进出口情况、政策需求以及需要政府部门提供的服务等方面进行了深入的调查了解，同时传达了省对外贸出口及加工贸易的鼓励政策，指导企业开展直接出口和加工贸易。商务局组成“外贸服务队”为大祥外贸企业发展提供服务。针对进出口业务经验相对薄弱的中小外贸企业，开展免费海外业务开拓咨询及业务代理服务，帮助他们更顺畅地走上海外淘金之路。同时，积极组织企业参加广交会”“东盟博览会”等国际性展会，针对企业参展开展政策和业务培训，使企业参展参会更具有</w:t>
      </w:r>
      <w:r w:rsidRPr="00522BA7">
        <w:rPr>
          <w:rFonts w:asciiTheme="minorEastAsia" w:eastAsiaTheme="minorEastAsia" w:hAnsiTheme="minorEastAsia" w:cs="仿宋_GB2312" w:hint="eastAsia"/>
          <w:sz w:val="32"/>
          <w:szCs w:val="32"/>
        </w:rPr>
        <w:lastRenderedPageBreak/>
        <w:t>针对性，参展效果更加实惠。</w:t>
      </w:r>
    </w:p>
    <w:p w:rsidR="00522BA7" w:rsidRPr="00522BA7" w:rsidRDefault="00522BA7" w:rsidP="00522BA7">
      <w:pPr>
        <w:spacing w:line="580" w:lineRule="exact"/>
        <w:ind w:firstLineChars="200" w:firstLine="640"/>
        <w:rPr>
          <w:rFonts w:asciiTheme="minorEastAsia" w:eastAsiaTheme="minorEastAsia" w:hAnsiTheme="minorEastAsia" w:cs="楷体_GB2312"/>
          <w:bCs/>
          <w:sz w:val="32"/>
          <w:szCs w:val="32"/>
        </w:rPr>
      </w:pPr>
      <w:r w:rsidRPr="00522BA7">
        <w:rPr>
          <w:rFonts w:asciiTheme="minorEastAsia" w:eastAsiaTheme="minorEastAsia" w:hAnsiTheme="minorEastAsia" w:cs="楷体_GB2312" w:hint="eastAsia"/>
          <w:bCs/>
          <w:sz w:val="32"/>
          <w:szCs w:val="32"/>
        </w:rPr>
        <w:t>3、</w:t>
      </w:r>
      <w:r w:rsidRPr="00522BA7">
        <w:rPr>
          <w:rFonts w:asciiTheme="minorEastAsia" w:eastAsiaTheme="minorEastAsia" w:hAnsiTheme="minorEastAsia" w:cs="楷体_GB2312" w:hint="eastAsia"/>
          <w:bCs/>
          <w:sz w:val="32"/>
          <w:szCs w:val="32"/>
        </w:rPr>
        <w:t>促进内贸流通，实现以拉动内需保增长</w:t>
      </w:r>
    </w:p>
    <w:p w:rsidR="00522BA7" w:rsidRPr="00522BA7" w:rsidRDefault="00522BA7" w:rsidP="00522BA7">
      <w:pPr>
        <w:spacing w:line="580" w:lineRule="exact"/>
        <w:ind w:firstLine="645"/>
        <w:rPr>
          <w:rFonts w:asciiTheme="minorEastAsia" w:eastAsiaTheme="minorEastAsia" w:hAnsiTheme="minorEastAsia" w:cs="仿宋_GB2312"/>
          <w:sz w:val="32"/>
          <w:szCs w:val="32"/>
        </w:rPr>
      </w:pPr>
      <w:r w:rsidRPr="00522BA7">
        <w:rPr>
          <w:rFonts w:asciiTheme="minorEastAsia" w:eastAsiaTheme="minorEastAsia" w:hAnsiTheme="minorEastAsia" w:cs="仿宋_GB2312" w:hint="eastAsia"/>
          <w:sz w:val="32"/>
          <w:szCs w:val="32"/>
        </w:rPr>
        <w:t>按照“搞活流通、扩大消费”的要求，加快流通体系建设，完善市场调节，规范市场秩序，促进全区商贸流通业态快速发展。</w:t>
      </w:r>
      <w:r w:rsidRPr="00522BA7">
        <w:rPr>
          <w:rFonts w:asciiTheme="minorEastAsia" w:eastAsiaTheme="minorEastAsia" w:hAnsiTheme="minorEastAsia" w:cs="仿宋_GB2312" w:hint="eastAsia"/>
          <w:bCs/>
          <w:sz w:val="32"/>
          <w:szCs w:val="32"/>
        </w:rPr>
        <w:t>一是全力以赴促消费。</w:t>
      </w:r>
      <w:r w:rsidRPr="00522BA7">
        <w:rPr>
          <w:rFonts w:asciiTheme="minorEastAsia" w:eastAsiaTheme="minorEastAsia" w:hAnsiTheme="minorEastAsia" w:cs="仿宋_GB2312" w:hint="eastAsia"/>
          <w:kern w:val="0"/>
          <w:sz w:val="32"/>
          <w:szCs w:val="32"/>
          <w:lang w:bidi="ar"/>
        </w:rPr>
        <w:t>组织辖区商贸企业参加了2023新春年货购物节、2023邵阳市消费促进季等促消费活动、百万补贴回馈工会会员家电消费专场活动等，并通过微信朋友圈各类网络媒体，加大促消费活动社会宣传，以点带面激发消费活力。积极发展电商、夜经济等新型消费模式，组织辖区电商企业开展线上促消费活动，发展夜市经济，构筑消费新场景。今年10月份，我局配合市商务局在体育中心举办了“全国举重冠军赛夜市活动”有力促进了我区夜市经济发展。</w:t>
      </w:r>
      <w:r w:rsidRPr="00522BA7">
        <w:rPr>
          <w:rFonts w:asciiTheme="minorEastAsia" w:eastAsiaTheme="minorEastAsia" w:hAnsiTheme="minorEastAsia" w:cs="仿宋_GB2312" w:hint="eastAsia"/>
          <w:bCs/>
          <w:sz w:val="32"/>
          <w:szCs w:val="32"/>
        </w:rPr>
        <w:t>二是大力开展社零培育</w:t>
      </w:r>
      <w:r w:rsidRPr="00522BA7">
        <w:rPr>
          <w:rFonts w:asciiTheme="minorEastAsia" w:eastAsiaTheme="minorEastAsia" w:hAnsiTheme="minorEastAsia" w:cs="仿宋_GB2312" w:hint="eastAsia"/>
          <w:sz w:val="32"/>
          <w:szCs w:val="32"/>
        </w:rPr>
        <w:t>。区级领导</w:t>
      </w:r>
      <w:r w:rsidRPr="00522BA7">
        <w:rPr>
          <w:rFonts w:asciiTheme="minorEastAsia" w:eastAsiaTheme="minorEastAsia" w:hAnsiTheme="minorEastAsia" w:cs="仿宋_GB2312" w:hint="eastAsia"/>
          <w:kern w:val="0"/>
          <w:sz w:val="32"/>
          <w:szCs w:val="32"/>
          <w:lang w:bidi="ar"/>
        </w:rPr>
        <w:t>加强工作调度，</w:t>
      </w:r>
      <w:r w:rsidRPr="00522BA7">
        <w:rPr>
          <w:rFonts w:asciiTheme="minorEastAsia" w:eastAsiaTheme="minorEastAsia" w:hAnsiTheme="minorEastAsia" w:cs="仿宋_GB2312" w:hint="eastAsia"/>
          <w:sz w:val="32"/>
          <w:szCs w:val="32"/>
        </w:rPr>
        <w:t>商务局联合统计局、各乡镇街道</w:t>
      </w:r>
      <w:r w:rsidRPr="00522BA7">
        <w:rPr>
          <w:rFonts w:asciiTheme="minorEastAsia" w:eastAsiaTheme="minorEastAsia" w:hAnsiTheme="minorEastAsia" w:cs="仿宋_GB2312" w:hint="eastAsia"/>
          <w:kern w:val="0"/>
          <w:sz w:val="32"/>
          <w:szCs w:val="32"/>
          <w:lang w:bidi="ar"/>
        </w:rPr>
        <w:t>根据批发、零售、住宿和餐饮企业前一年度经营情况，排查汇总形成符合培育条件的限额以上商贸企业名录库。加强对当年新开工或新投产的企业跟踪服务工作，及时组织、指导企业开展月度入库申报工作。对接近限额标准经营单位，按照部门联席会议制度，采取定部门、定人员、定措施、定目标的办法，逐一上门，宣传政策法规，帮助解决困难和问题，争取企业配合和支持。引导达到限额以上企业标准的个体经营户按程序转型升级为法人单位企业，力促申报入库。坚持激励带动和规范管理并重，落实商贸流通重点企业政策扶持，对入规入统企业给予政策倾斜。通过一系列措施，实现社零企业入规入统，应统尽统，</w:t>
      </w:r>
      <w:r w:rsidRPr="00522BA7">
        <w:rPr>
          <w:rFonts w:asciiTheme="minorEastAsia" w:eastAsiaTheme="minorEastAsia" w:hAnsiTheme="minorEastAsia" w:cs="仿宋_GB2312" w:hint="eastAsia"/>
          <w:kern w:val="0"/>
          <w:sz w:val="32"/>
          <w:szCs w:val="32"/>
          <w:lang w:bidi="ar"/>
        </w:rPr>
        <w:lastRenderedPageBreak/>
        <w:t>全年新增19家零售批发、餐饮住宿企业申报入统，超额完成年初目标任务，为实现全区社会消费品零售总额稳步增长打下坚实基础。</w:t>
      </w:r>
      <w:r w:rsidRPr="00522BA7">
        <w:rPr>
          <w:rFonts w:asciiTheme="minorEastAsia" w:eastAsiaTheme="minorEastAsia" w:hAnsiTheme="minorEastAsia" w:cs="仿宋_GB2312" w:hint="eastAsia"/>
          <w:bCs/>
          <w:sz w:val="32"/>
          <w:szCs w:val="32"/>
        </w:rPr>
        <w:t>三是实施数商兴农，建设数字乡村。</w:t>
      </w:r>
      <w:r w:rsidRPr="00522BA7">
        <w:rPr>
          <w:rFonts w:asciiTheme="minorEastAsia" w:eastAsiaTheme="minorEastAsia" w:hAnsiTheme="minorEastAsia" w:cs="仿宋_GB2312" w:hint="eastAsia"/>
          <w:sz w:val="32"/>
          <w:szCs w:val="32"/>
        </w:rPr>
        <w:t>为巩固拓展电商扶贫成果与乡村振兴有效衔接，我区积极开展数商兴农和数字乡村建设工作，坚持电商创新驱动发展，培育一批涉农电商市场主体，打造一批农村特色产业网络品牌，保持全区电商交易额和农产品网销额稳步增长。全年共举办电子商务创业培训4次共160人；联合邮乐网、邵阳市电子商务行业协会，举办电子商务普及培训8次共200余人；联合邵阳市智丰职业学校和邵阳市创业指导服务中心，举办新型直播带货（拼多多、抖音等）培训6次共170余人。</w:t>
      </w:r>
    </w:p>
    <w:p w:rsidR="00522BA7" w:rsidRPr="00522BA7" w:rsidRDefault="00522BA7" w:rsidP="00522BA7">
      <w:pPr>
        <w:spacing w:line="580" w:lineRule="exact"/>
        <w:ind w:firstLineChars="200" w:firstLine="640"/>
        <w:rPr>
          <w:rFonts w:asciiTheme="minorEastAsia" w:eastAsiaTheme="minorEastAsia" w:hAnsiTheme="minorEastAsia" w:cs="楷体_GB2312"/>
          <w:bCs/>
          <w:sz w:val="32"/>
          <w:szCs w:val="32"/>
        </w:rPr>
      </w:pPr>
      <w:r w:rsidRPr="00522BA7">
        <w:rPr>
          <w:rFonts w:asciiTheme="minorEastAsia" w:eastAsiaTheme="minorEastAsia" w:hAnsiTheme="minorEastAsia" w:cs="楷体_GB2312" w:hint="eastAsia"/>
          <w:bCs/>
          <w:sz w:val="32"/>
          <w:szCs w:val="32"/>
        </w:rPr>
        <w:t>4、</w:t>
      </w:r>
      <w:r w:rsidRPr="00522BA7">
        <w:rPr>
          <w:rFonts w:asciiTheme="minorEastAsia" w:eastAsiaTheme="minorEastAsia" w:hAnsiTheme="minorEastAsia" w:cs="楷体_GB2312" w:hint="eastAsia"/>
          <w:bCs/>
          <w:sz w:val="32"/>
          <w:szCs w:val="32"/>
        </w:rPr>
        <w:t>狠抓行业监管，实现商务领域安全形势稳定</w:t>
      </w:r>
    </w:p>
    <w:p w:rsidR="00522BA7" w:rsidRPr="00522BA7" w:rsidRDefault="00522BA7" w:rsidP="00522BA7">
      <w:pPr>
        <w:spacing w:line="580" w:lineRule="exact"/>
        <w:ind w:firstLine="645"/>
        <w:rPr>
          <w:rFonts w:asciiTheme="minorEastAsia" w:eastAsiaTheme="minorEastAsia" w:hAnsiTheme="minorEastAsia" w:cs="仿宋_GB2312"/>
          <w:sz w:val="32"/>
          <w:szCs w:val="32"/>
        </w:rPr>
      </w:pPr>
      <w:r w:rsidRPr="00522BA7">
        <w:rPr>
          <w:rFonts w:asciiTheme="minorEastAsia" w:eastAsiaTheme="minorEastAsia" w:hAnsiTheme="minorEastAsia" w:cs="仿宋_GB2312" w:hint="eastAsia"/>
          <w:bCs/>
          <w:sz w:val="32"/>
          <w:szCs w:val="32"/>
        </w:rPr>
        <w:t>一是强化成品油市场监管。</w:t>
      </w:r>
      <w:r w:rsidRPr="00522BA7">
        <w:rPr>
          <w:rFonts w:asciiTheme="minorEastAsia" w:eastAsiaTheme="minorEastAsia" w:hAnsiTheme="minorEastAsia" w:cs="仿宋_GB2312" w:hint="eastAsia"/>
          <w:sz w:val="32"/>
          <w:szCs w:val="32"/>
        </w:rPr>
        <w:t>全年共完成了全区19家应检加油站的年检工作和邵阳中油城市新能源投资有限公司永兴加油站的新建竣工验收工作。开展成品油市场“打非治违”百日行动。成立了</w:t>
      </w:r>
      <w:r w:rsidRPr="00522BA7">
        <w:rPr>
          <w:rFonts w:asciiTheme="minorEastAsia" w:eastAsiaTheme="minorEastAsia" w:hAnsiTheme="minorEastAsia" w:cs="仿宋_GB2312" w:hint="eastAsia"/>
          <w:kern w:val="0"/>
          <w:sz w:val="32"/>
          <w:szCs w:val="32"/>
          <w:lang w:bidi="ar"/>
        </w:rPr>
        <w:t>成品油市场专项整治领导小组，出台了《邵阳市大祥区成品油市场“打非治违”百日行动实施方案》，各相关部门明确责任分工，联合开展成品油“打非治违”百日行动，</w:t>
      </w:r>
      <w:r w:rsidRPr="00522BA7">
        <w:rPr>
          <w:rFonts w:asciiTheme="minorEastAsia" w:eastAsiaTheme="minorEastAsia" w:hAnsiTheme="minorEastAsia" w:cs="仿宋_GB2312" w:hint="eastAsia"/>
          <w:sz w:val="32"/>
          <w:szCs w:val="32"/>
        </w:rPr>
        <w:t>对成品油企业的非法、违规经营行为给予严肃查处。</w:t>
      </w:r>
      <w:r w:rsidRPr="00522BA7">
        <w:rPr>
          <w:rFonts w:asciiTheme="minorEastAsia" w:eastAsiaTheme="minorEastAsia" w:hAnsiTheme="minorEastAsia" w:cs="仿宋_GB2312" w:hint="eastAsia"/>
          <w:bCs/>
          <w:sz w:val="32"/>
          <w:szCs w:val="32"/>
        </w:rPr>
        <w:t>二是加强行业安全生产监管。</w:t>
      </w:r>
      <w:r w:rsidRPr="00522BA7">
        <w:rPr>
          <w:rFonts w:asciiTheme="minorEastAsia" w:eastAsiaTheme="minorEastAsia" w:hAnsiTheme="minorEastAsia" w:cs="仿宋_GB2312" w:hint="eastAsia"/>
          <w:sz w:val="32"/>
          <w:szCs w:val="32"/>
        </w:rPr>
        <w:t>强化对辖区大型商场超市、标准化农贸市场、加油站等重点场所的日常安全监管，扎实开展专项整治行动，定期全面排查隐患，督促重点整改，确保商务领域安全生产形势稳定。今年以来,我局按照“党政同责、一岗双责、齐抓共管、失职追责”和“三个必须”</w:t>
      </w:r>
      <w:r w:rsidRPr="00522BA7">
        <w:rPr>
          <w:rFonts w:asciiTheme="minorEastAsia" w:eastAsiaTheme="minorEastAsia" w:hAnsiTheme="minorEastAsia" w:cs="仿宋_GB2312" w:hint="eastAsia"/>
          <w:sz w:val="32"/>
          <w:szCs w:val="32"/>
        </w:rPr>
        <w:lastRenderedPageBreak/>
        <w:t>要求，明确班子成员安全生产工作责任，班子成员每个月带队两次检查商务行业领域安全生产、消防工作，督促企业落实安全主体责任，并组织全体干部分组到辖区企业开展行业安全生产、消防安全隐患地毯式大排查，排查安全隐患117处，要求立即整改92处，限期整改25处。</w:t>
      </w:r>
      <w:r w:rsidRPr="00522BA7">
        <w:rPr>
          <w:rFonts w:asciiTheme="minorEastAsia" w:eastAsiaTheme="minorEastAsia" w:hAnsiTheme="minorEastAsia" w:cs="仿宋_GB2312" w:hint="eastAsia"/>
          <w:bCs/>
          <w:sz w:val="32"/>
          <w:szCs w:val="32"/>
        </w:rPr>
        <w:t>三是开展报废机动车回收行业及二手车流通行业整治工作。我区</w:t>
      </w:r>
      <w:r w:rsidRPr="00522BA7">
        <w:rPr>
          <w:rFonts w:asciiTheme="minorEastAsia" w:eastAsiaTheme="minorEastAsia" w:hAnsiTheme="minorEastAsia" w:cs="仿宋_GB2312" w:hint="eastAsia"/>
          <w:sz w:val="32"/>
          <w:szCs w:val="32"/>
        </w:rPr>
        <w:t>引进“和诚”二手车公司，该公司目前是大祥区最大的二手车经销企业，极大促进了我区二手车流通和规范经营。区二手车交易市场正在筹建当中。今年，我局联合区市场监督管理局对“新宁县伟明报废汽车回收有限责任公司大祥区分公司”进行了“双随机”检查，确保</w:t>
      </w:r>
      <w:r w:rsidRPr="00522BA7">
        <w:rPr>
          <w:rFonts w:asciiTheme="minorEastAsia" w:eastAsiaTheme="minorEastAsia" w:hAnsiTheme="minorEastAsia" w:cs="仿宋_GB2312" w:hint="eastAsia"/>
          <w:bCs/>
          <w:sz w:val="32"/>
          <w:szCs w:val="32"/>
        </w:rPr>
        <w:t>报废机动车回收行业及二手车流通行业安全整治行动有序开展。</w:t>
      </w:r>
    </w:p>
    <w:p w:rsidR="00522BA7" w:rsidRPr="00522BA7" w:rsidRDefault="00522BA7" w:rsidP="00522BA7">
      <w:pPr>
        <w:spacing w:line="580" w:lineRule="exact"/>
        <w:ind w:firstLineChars="200" w:firstLine="640"/>
        <w:rPr>
          <w:rFonts w:asciiTheme="minorEastAsia" w:eastAsiaTheme="minorEastAsia" w:hAnsiTheme="minorEastAsia" w:cs="楷体"/>
          <w:bCs/>
          <w:sz w:val="32"/>
          <w:szCs w:val="32"/>
        </w:rPr>
      </w:pPr>
      <w:r w:rsidRPr="00522BA7">
        <w:rPr>
          <w:rFonts w:asciiTheme="minorEastAsia" w:eastAsiaTheme="minorEastAsia" w:hAnsiTheme="minorEastAsia" w:cs="楷体" w:hint="eastAsia"/>
          <w:bCs/>
          <w:sz w:val="32"/>
          <w:szCs w:val="32"/>
        </w:rPr>
        <w:t>5、</w:t>
      </w:r>
      <w:r w:rsidRPr="00522BA7">
        <w:rPr>
          <w:rFonts w:asciiTheme="minorEastAsia" w:eastAsiaTheme="minorEastAsia" w:hAnsiTheme="minorEastAsia" w:cs="楷体" w:hint="eastAsia"/>
          <w:bCs/>
          <w:sz w:val="32"/>
          <w:szCs w:val="32"/>
        </w:rPr>
        <w:t>强化自身建设，为商务事业稳步发展提供支撑</w:t>
      </w:r>
    </w:p>
    <w:p w:rsidR="00522BA7" w:rsidRPr="00522BA7" w:rsidRDefault="00522BA7" w:rsidP="00522BA7">
      <w:pPr>
        <w:pStyle w:val="2"/>
        <w:spacing w:line="580" w:lineRule="exact"/>
        <w:ind w:firstLine="640"/>
        <w:rPr>
          <w:rFonts w:asciiTheme="minorEastAsia" w:eastAsiaTheme="minorEastAsia" w:hAnsiTheme="minorEastAsia" w:cs="仿宋_GB2312"/>
          <w:szCs w:val="32"/>
        </w:rPr>
      </w:pPr>
      <w:r w:rsidRPr="00522BA7">
        <w:rPr>
          <w:rFonts w:asciiTheme="minorEastAsia" w:eastAsiaTheme="minorEastAsia" w:hAnsiTheme="minorEastAsia" w:cs="仿宋_GB2312" w:hint="eastAsia"/>
          <w:bCs/>
          <w:kern w:val="2"/>
          <w:szCs w:val="32"/>
        </w:rPr>
        <w:t>一是严格落实意识形态工作责任制。</w:t>
      </w:r>
      <w:r w:rsidRPr="00522BA7">
        <w:rPr>
          <w:rFonts w:asciiTheme="minorEastAsia" w:eastAsiaTheme="minorEastAsia" w:hAnsiTheme="minorEastAsia" w:cs="仿宋_GB2312" w:hint="eastAsia"/>
          <w:szCs w:val="32"/>
          <w:shd w:val="clear" w:color="auto" w:fill="FFFFFF"/>
        </w:rPr>
        <w:t>坚持党管意识形态原则，认真落实意识形态和网络意识形态工作责任制。积极开展社会主义核心价值观、公民道德规范、优秀传统美德等意识形态宣传，强化意识形态风险监测预警和分析研判。抓导向、管阵地、强队伍，形成维护意识形态安全的强大合力，全力做好舆论引导和服务保障工作，全面宣传习近平新时代中国特色社会主义思想，巩固壮大主流思想舆论，把舆论引导的主导权牢牢抓在手里。及时防范化解风险隐患，切实维护意识形态安全。</w:t>
      </w:r>
      <w:r w:rsidRPr="00522BA7">
        <w:rPr>
          <w:rFonts w:asciiTheme="minorEastAsia" w:eastAsiaTheme="minorEastAsia" w:hAnsiTheme="minorEastAsia" w:cs="仿宋_GB2312" w:hint="eastAsia"/>
          <w:bCs/>
          <w:szCs w:val="32"/>
          <w:shd w:val="clear" w:color="auto" w:fill="FFFFFF"/>
        </w:rPr>
        <w:t>二是</w:t>
      </w:r>
      <w:r w:rsidRPr="00522BA7">
        <w:rPr>
          <w:rFonts w:asciiTheme="minorEastAsia" w:eastAsiaTheme="minorEastAsia" w:hAnsiTheme="minorEastAsia" w:cs="仿宋_GB2312" w:hint="eastAsia"/>
          <w:bCs/>
          <w:kern w:val="2"/>
          <w:szCs w:val="32"/>
        </w:rPr>
        <w:t>深化理论武装，认真开展习近平新时代中国特色社会主义思想主题教育。</w:t>
      </w:r>
      <w:r w:rsidRPr="00522BA7">
        <w:rPr>
          <w:rFonts w:asciiTheme="minorEastAsia" w:eastAsiaTheme="minorEastAsia" w:hAnsiTheme="minorEastAsia" w:cs="仿宋_GB2312" w:hint="eastAsia"/>
          <w:kern w:val="2"/>
          <w:szCs w:val="32"/>
        </w:rPr>
        <w:t>加强学习教育，按时开展党组理论中心组学习和党支部“三会一课”，组织党员干</w:t>
      </w:r>
      <w:r w:rsidRPr="00522BA7">
        <w:rPr>
          <w:rFonts w:asciiTheme="minorEastAsia" w:eastAsiaTheme="minorEastAsia" w:hAnsiTheme="minorEastAsia" w:cs="仿宋_GB2312" w:hint="eastAsia"/>
          <w:kern w:val="2"/>
          <w:szCs w:val="32"/>
        </w:rPr>
        <w:lastRenderedPageBreak/>
        <w:t>部认真开展政治理论学习。全局把开展好主题教育作为首要政治任务，精心组织，周密部署，坚持学原文、读原著、悟原理，加强理论学习，用习近平新时代中国特色社会主义思想武装头脑、指导实践、推动发展。激励全局党员干部不断探索创新商务工作方法，深入分析问题与不足，科学研判机遇与挑战，全面发挥商务工作在扩大高质量开放和构建新发展格局中的重要作用。</w:t>
      </w:r>
      <w:r w:rsidRPr="00522BA7">
        <w:rPr>
          <w:rFonts w:asciiTheme="minorEastAsia" w:eastAsiaTheme="minorEastAsia" w:hAnsiTheme="minorEastAsia" w:cs="仿宋_GB2312" w:hint="eastAsia"/>
          <w:bCs/>
          <w:kern w:val="2"/>
          <w:szCs w:val="32"/>
        </w:rPr>
        <w:t>三是扎实开展廉政教育，推进清廉单位建设。</w:t>
      </w:r>
      <w:r w:rsidRPr="00522BA7">
        <w:rPr>
          <w:rFonts w:asciiTheme="minorEastAsia" w:eastAsiaTheme="minorEastAsia" w:hAnsiTheme="minorEastAsia" w:cs="仿宋_GB2312" w:hint="eastAsia"/>
          <w:kern w:val="2"/>
          <w:szCs w:val="32"/>
        </w:rPr>
        <w:t>多种形式开展廉政宣传，比如打造机关廉政文化长廊、通过工作微信群推送廉政信息等,形成清廉文化处处可见;积极开展清廉家庭建设,把清廉文化拓展到家庭,落实在身边人身边事；持续深入开展廉政教育活动,组织机关党员干部集中观看警示教育片、通报典型案例,并开展学廉、思廉、倡廉教育研讨活动,促进党员干部学思践悟,守牢清廉底线；定期开展谈心谈话,了解党员干部思想生活动态,对存在的苗头性、倾向性问题及时约谈提醒、督促整改。通过持续深入开展清廉建设，认真落实党风廉政建设、清廉机关建设等规定要求,促进党员干部在思想上自觉坚守廉洁自律底线。</w:t>
      </w:r>
      <w:r w:rsidRPr="00522BA7">
        <w:rPr>
          <w:rFonts w:asciiTheme="minorEastAsia" w:eastAsiaTheme="minorEastAsia" w:hAnsiTheme="minorEastAsia" w:cs="仿宋_GB2312" w:hint="eastAsia"/>
          <w:bCs/>
          <w:kern w:val="2"/>
          <w:szCs w:val="32"/>
        </w:rPr>
        <w:t>四是坚持从严治党，切实改进干部作风。</w:t>
      </w:r>
      <w:r w:rsidRPr="00522BA7">
        <w:rPr>
          <w:rFonts w:asciiTheme="minorEastAsia" w:eastAsiaTheme="minorEastAsia" w:hAnsiTheme="minorEastAsia" w:cs="仿宋_GB2312" w:hint="eastAsia"/>
          <w:kern w:val="2"/>
          <w:szCs w:val="32"/>
        </w:rPr>
        <w:t>坚持把学习党章党规党纪作为党员干部必修课，定期组织学习《中国共产党章程》《中国共产党廉洁自律准则》《中国共产党纪律处分条例》《中国共产党问责条例》等党规党纪，内化于心、外化于行，时刻绷紧纪律规矩这根弦，带头遵守党规党纪，营造风清气正的政治生态。</w:t>
      </w:r>
      <w:r w:rsidRPr="00522BA7">
        <w:rPr>
          <w:rFonts w:asciiTheme="minorEastAsia" w:eastAsiaTheme="minorEastAsia" w:hAnsiTheme="minorEastAsia" w:cs="仿宋_GB2312" w:hint="eastAsia"/>
          <w:bCs/>
          <w:szCs w:val="32"/>
        </w:rPr>
        <w:t>五是落实普法责任，积极推进法治政府建设。</w:t>
      </w:r>
      <w:r w:rsidRPr="00522BA7">
        <w:rPr>
          <w:rFonts w:asciiTheme="minorEastAsia" w:eastAsiaTheme="minorEastAsia" w:hAnsiTheme="minorEastAsia" w:cs="仿宋_GB2312" w:hint="eastAsia"/>
          <w:szCs w:val="32"/>
        </w:rPr>
        <w:t>把法治建设工作列入了重要议事日程,纳入目标管</w:t>
      </w:r>
      <w:r w:rsidRPr="00522BA7">
        <w:rPr>
          <w:rFonts w:asciiTheme="minorEastAsia" w:eastAsiaTheme="minorEastAsia" w:hAnsiTheme="minorEastAsia" w:cs="仿宋_GB2312" w:hint="eastAsia"/>
          <w:szCs w:val="32"/>
        </w:rPr>
        <w:lastRenderedPageBreak/>
        <w:t>理,采取灵活多样的方式推动法治建设工作,一是做好干部法治教育工作。组织商务系统干部职工积极开展学法活动，参加2023年度的国家工作人员普法考试。二是加强商务行业领域的法治宣传。按照“谁执法谁普法”的责任要求，多种形式开展法治宣传，全面营造依法治商的良好氛围。三是积极推进政务公开。应公开、尽公开，做到行政权力运行阳光透明。</w:t>
      </w:r>
    </w:p>
    <w:p w:rsidR="00522BA7" w:rsidRPr="00522BA7" w:rsidRDefault="00522BA7" w:rsidP="00522BA7">
      <w:pPr>
        <w:pStyle w:val="2"/>
        <w:spacing w:line="580" w:lineRule="exact"/>
        <w:ind w:firstLine="640"/>
        <w:rPr>
          <w:rFonts w:asciiTheme="minorEastAsia" w:eastAsiaTheme="minorEastAsia" w:hAnsiTheme="minorEastAsia" w:cs="楷体_GB2312"/>
          <w:bCs/>
          <w:kern w:val="2"/>
          <w:szCs w:val="32"/>
        </w:rPr>
      </w:pPr>
      <w:r w:rsidRPr="00522BA7">
        <w:rPr>
          <w:rFonts w:asciiTheme="minorEastAsia" w:eastAsiaTheme="minorEastAsia" w:hAnsiTheme="minorEastAsia" w:cs="楷体_GB2312" w:hint="eastAsia"/>
          <w:bCs/>
          <w:kern w:val="2"/>
          <w:szCs w:val="32"/>
        </w:rPr>
        <w:t>6、</w:t>
      </w:r>
      <w:r w:rsidRPr="00522BA7">
        <w:rPr>
          <w:rFonts w:asciiTheme="minorEastAsia" w:eastAsiaTheme="minorEastAsia" w:hAnsiTheme="minorEastAsia" w:cs="楷体_GB2312" w:hint="eastAsia"/>
          <w:bCs/>
          <w:kern w:val="2"/>
          <w:szCs w:val="32"/>
        </w:rPr>
        <w:t>统筹做好各项中心工作</w:t>
      </w:r>
      <w:bookmarkStart w:id="0" w:name="_GoBack"/>
      <w:bookmarkEnd w:id="0"/>
    </w:p>
    <w:p w:rsidR="00522BA7" w:rsidRPr="00522BA7" w:rsidRDefault="00522BA7" w:rsidP="00522BA7">
      <w:pPr>
        <w:spacing w:line="580" w:lineRule="exact"/>
        <w:ind w:firstLine="645"/>
        <w:rPr>
          <w:rFonts w:asciiTheme="minorEastAsia" w:eastAsiaTheme="minorEastAsia" w:hAnsiTheme="minorEastAsia" w:cs="仿宋_GB2312"/>
          <w:sz w:val="32"/>
          <w:szCs w:val="32"/>
        </w:rPr>
      </w:pPr>
      <w:r w:rsidRPr="00522BA7">
        <w:rPr>
          <w:rFonts w:asciiTheme="minorEastAsia" w:eastAsiaTheme="minorEastAsia" w:hAnsiTheme="minorEastAsia" w:cs="仿宋_GB2312" w:hint="eastAsia"/>
          <w:sz w:val="32"/>
          <w:szCs w:val="32"/>
        </w:rPr>
        <w:t>强化党建引领，通过不断加强干部队伍建设，提升党员干部服务中心各项能力，组织党员干部到一线做调研，到基层搞服务，全面做好商务行业领域文明创建、平安建设、乡村振兴等中心工作，指导辖区标准化农贸市场开展文明创建，组织干部结对帮扶，走村入户，做好乡村振兴工作，到联点社区开展干部大走访活动等。</w:t>
      </w:r>
    </w:p>
    <w:p w:rsidR="008F6D82" w:rsidRDefault="00261D61">
      <w:pPr>
        <w:pStyle w:val="a5"/>
        <w:widowControl/>
        <w:shd w:val="clear" w:color="auto" w:fill="FFFFFF"/>
        <w:spacing w:beforeAutospacing="0" w:after="150" w:afterAutospacing="0" w:line="450" w:lineRule="atLeast"/>
        <w:ind w:firstLineChars="200" w:firstLine="643"/>
        <w:rPr>
          <w:rFonts w:ascii="黑体" w:eastAsia="黑体" w:hAnsi="黑体" w:cs="黑体"/>
          <w:b/>
          <w:bCs/>
          <w:color w:val="555555"/>
          <w:sz w:val="32"/>
          <w:szCs w:val="32"/>
        </w:rPr>
      </w:pPr>
      <w:r>
        <w:rPr>
          <w:rFonts w:ascii="黑体" w:eastAsia="黑体" w:hAnsi="黑体" w:cs="黑体" w:hint="eastAsia"/>
          <w:b/>
          <w:bCs/>
          <w:color w:val="555555"/>
          <w:sz w:val="32"/>
          <w:szCs w:val="32"/>
          <w:shd w:val="clear" w:color="auto" w:fill="FFFFFF"/>
        </w:rPr>
        <w:t>五、评价结论及建议</w:t>
      </w:r>
    </w:p>
    <w:p w:rsidR="008F6D82" w:rsidRDefault="00261D61">
      <w:pPr>
        <w:pStyle w:val="a5"/>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仿宋_GB2312" w:eastAsia="仿宋_GB2312" w:hAnsi="仿宋_GB2312" w:cs="仿宋_GB2312" w:hint="eastAsia"/>
          <w:color w:val="555555"/>
          <w:sz w:val="32"/>
          <w:szCs w:val="32"/>
          <w:shd w:val="clear" w:color="auto" w:fill="FFFFFF"/>
        </w:rPr>
        <w:t xml:space="preserve">　　</w:t>
      </w:r>
      <w:r>
        <w:rPr>
          <w:rFonts w:asciiTheme="minorEastAsia" w:eastAsiaTheme="minorEastAsia" w:hAnsiTheme="minorEastAsia" w:cstheme="minorEastAsia" w:hint="eastAsia"/>
          <w:sz w:val="32"/>
          <w:szCs w:val="32"/>
          <w:shd w:val="clear" w:color="auto" w:fill="FFFFFF"/>
        </w:rPr>
        <w:t>（一）评价结论</w:t>
      </w:r>
    </w:p>
    <w:p w:rsidR="008F6D82" w:rsidRDefault="00261D61">
      <w:pPr>
        <w:pStyle w:val="a5"/>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综上所述，我单位在预算编制、预算执行、支出绩效方面，严格按照规定执行，合理安排支出，使财政资金发挥最大使用效益。</w:t>
      </w:r>
    </w:p>
    <w:p w:rsidR="008F6D82" w:rsidRDefault="00261D61">
      <w:pPr>
        <w:pStyle w:val="a5"/>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（二）存在问题</w:t>
      </w:r>
    </w:p>
    <w:p w:rsidR="008F6D82" w:rsidRDefault="00261D61">
      <w:pPr>
        <w:pStyle w:val="a5"/>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lastRenderedPageBreak/>
        <w:t xml:space="preserve">　　预算管理和财务管理有待加强，经费核算需进一步完善。在核算过程中部分支出难以区分支出范围，资金使用存在界限不清的现象。</w:t>
      </w:r>
    </w:p>
    <w:p w:rsidR="008F6D82" w:rsidRDefault="00261D61">
      <w:pPr>
        <w:pStyle w:val="a5"/>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（三）改进建议</w:t>
      </w:r>
    </w:p>
    <w:p w:rsidR="008F6D82" w:rsidRDefault="00261D61">
      <w:pPr>
        <w:pStyle w:val="a5"/>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w:t>
      </w:r>
      <w:r>
        <w:rPr>
          <w:rFonts w:asciiTheme="minorEastAsia" w:eastAsiaTheme="minorEastAsia" w:hAnsiTheme="minorEastAsia" w:cstheme="minorEastAsia" w:hint="eastAsia"/>
          <w:sz w:val="32"/>
          <w:szCs w:val="32"/>
          <w:shd w:val="clear" w:color="auto" w:fill="FFFFFF"/>
        </w:rPr>
        <w:t>1</w:t>
      </w:r>
      <w:r>
        <w:rPr>
          <w:rFonts w:asciiTheme="minorEastAsia" w:eastAsiaTheme="minorEastAsia" w:hAnsiTheme="minorEastAsia" w:cstheme="minorEastAsia" w:hint="eastAsia"/>
          <w:sz w:val="32"/>
          <w:szCs w:val="32"/>
          <w:shd w:val="clear" w:color="auto" w:fill="FFFFFF"/>
        </w:rPr>
        <w:t>、细化预算编制工作，认真做好年初预算编制。进一步加强单位内部各股室的预算管理意识，严格按照预算编制的相关要求进行编制。</w:t>
      </w:r>
    </w:p>
    <w:p w:rsidR="008F6D82" w:rsidRDefault="00261D61">
      <w:pPr>
        <w:pStyle w:val="a5"/>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w:t>
      </w:r>
      <w:r>
        <w:rPr>
          <w:rFonts w:asciiTheme="minorEastAsia" w:eastAsiaTheme="minorEastAsia" w:hAnsiTheme="minorEastAsia" w:cstheme="minorEastAsia" w:hint="eastAsia"/>
          <w:sz w:val="32"/>
          <w:szCs w:val="32"/>
          <w:shd w:val="clear" w:color="auto" w:fill="FFFFFF"/>
        </w:rPr>
        <w:t>2</w:t>
      </w:r>
      <w:r>
        <w:rPr>
          <w:rFonts w:asciiTheme="minorEastAsia" w:eastAsiaTheme="minorEastAsia" w:hAnsiTheme="minorEastAsia" w:cstheme="minorEastAsia" w:hint="eastAsia"/>
          <w:sz w:val="32"/>
          <w:szCs w:val="32"/>
          <w:shd w:val="clear" w:color="auto" w:fill="FFFFFF"/>
        </w:rPr>
        <w:t>、加强财务管理，严格财务审核。加强单位财务管理，健全单位财务管理制度体系，规范单位财务行为。在费用报</w:t>
      </w:r>
      <w:r>
        <w:rPr>
          <w:rFonts w:asciiTheme="minorEastAsia" w:eastAsiaTheme="minorEastAsia" w:hAnsiTheme="minorEastAsia" w:cstheme="minorEastAsia" w:hint="eastAsia"/>
          <w:sz w:val="32"/>
          <w:szCs w:val="32"/>
          <w:shd w:val="clear" w:color="auto" w:fill="FFFFFF"/>
        </w:rPr>
        <w:t>销时，按照预算规定的项目和用途进行资金使用审核、支付及财务核算，预防超支现象的发生。</w:t>
      </w:r>
    </w:p>
    <w:p w:rsidR="008F6D82" w:rsidRDefault="00261D61">
      <w:pPr>
        <w:pStyle w:val="a5"/>
        <w:widowControl/>
        <w:shd w:val="clear" w:color="auto" w:fill="FFFFFF"/>
        <w:spacing w:beforeAutospacing="0" w:after="150" w:afterAutospacing="0" w:line="450" w:lineRule="atLeas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shd w:val="clear" w:color="auto" w:fill="FFFFFF"/>
        </w:rPr>
        <w:t xml:space="preserve">　　</w:t>
      </w:r>
      <w:r>
        <w:rPr>
          <w:rFonts w:asciiTheme="minorEastAsia" w:eastAsiaTheme="minorEastAsia" w:hAnsiTheme="minorEastAsia" w:cstheme="minorEastAsia" w:hint="eastAsia"/>
          <w:sz w:val="32"/>
          <w:szCs w:val="32"/>
          <w:shd w:val="clear" w:color="auto" w:fill="FFFFFF"/>
        </w:rPr>
        <w:t>3</w:t>
      </w:r>
      <w:r>
        <w:rPr>
          <w:rFonts w:asciiTheme="minorEastAsia" w:eastAsiaTheme="minorEastAsia" w:hAnsiTheme="minorEastAsia" w:cstheme="minorEastAsia" w:hint="eastAsia"/>
          <w:sz w:val="32"/>
          <w:szCs w:val="32"/>
          <w:shd w:val="clear" w:color="auto" w:fill="FFFFFF"/>
        </w:rPr>
        <w:t>、加强对相关人员培训，特别是针对《预算法》、《政府会计制度》等方面学习培训，规范部门预算收支核算，切实提高部门预算收支管理水平。</w:t>
      </w:r>
    </w:p>
    <w:p w:rsidR="008F6D82" w:rsidRDefault="00261D61">
      <w:pPr>
        <w:pStyle w:val="Default"/>
        <w:spacing w:line="600" w:lineRule="exact"/>
        <w:ind w:leftChars="400" w:left="840"/>
        <w:rPr>
          <w:rFonts w:asciiTheme="minorEastAsia" w:eastAsiaTheme="minorEastAsia" w:hAnsiTheme="minorEastAsia" w:cstheme="minorEastAsia"/>
          <w:color w:val="auto"/>
          <w:sz w:val="32"/>
          <w:szCs w:val="32"/>
          <w:shd w:val="clear" w:color="auto" w:fill="FFFFFF"/>
        </w:rPr>
      </w:pPr>
      <w:r>
        <w:rPr>
          <w:rFonts w:asciiTheme="minorEastAsia" w:eastAsiaTheme="minorEastAsia" w:hAnsiTheme="minorEastAsia" w:cstheme="minorEastAsia" w:hint="eastAsia"/>
          <w:color w:val="auto"/>
          <w:sz w:val="32"/>
          <w:szCs w:val="32"/>
          <w:shd w:val="clear" w:color="auto" w:fill="FFFFFF"/>
        </w:rPr>
        <w:t xml:space="preserve">　　</w:t>
      </w:r>
    </w:p>
    <w:p w:rsidR="008F6D82" w:rsidRDefault="008F6D82">
      <w:pPr>
        <w:rPr>
          <w:rFonts w:asciiTheme="minorEastAsia" w:eastAsiaTheme="minorEastAsia" w:hAnsiTheme="minorEastAsia" w:cstheme="minorEastAsia"/>
          <w:sz w:val="32"/>
          <w:szCs w:val="32"/>
        </w:rPr>
      </w:pPr>
    </w:p>
    <w:p w:rsidR="008F6D82" w:rsidRDefault="008F6D82">
      <w:pPr>
        <w:pStyle w:val="Default"/>
        <w:ind w:firstLineChars="200" w:firstLine="640"/>
        <w:rPr>
          <w:rFonts w:asciiTheme="minorEastAsia" w:eastAsiaTheme="minorEastAsia" w:hAnsiTheme="minorEastAsia" w:cstheme="minorEastAsia"/>
          <w:color w:val="auto"/>
          <w:sz w:val="32"/>
          <w:szCs w:val="32"/>
        </w:rPr>
      </w:pPr>
    </w:p>
    <w:p w:rsidR="008F6D82" w:rsidRDefault="008F6D82">
      <w:pPr>
        <w:pStyle w:val="Default"/>
        <w:ind w:firstLineChars="200" w:firstLine="640"/>
        <w:rPr>
          <w:rFonts w:asciiTheme="minorEastAsia" w:eastAsiaTheme="minorEastAsia" w:hAnsiTheme="minorEastAsia" w:cstheme="minorEastAsia"/>
          <w:color w:val="auto"/>
          <w:sz w:val="32"/>
          <w:szCs w:val="32"/>
        </w:rPr>
      </w:pPr>
    </w:p>
    <w:sectPr w:rsidR="008F6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DQ1OTk2NGFhMWY1NWFlZTIzZWYxY2VmZjM5NzEifQ=="/>
  </w:docVars>
  <w:rsids>
    <w:rsidRoot w:val="6DD74F2C"/>
    <w:rsid w:val="00257D0B"/>
    <w:rsid w:val="003E2408"/>
    <w:rsid w:val="00522BA7"/>
    <w:rsid w:val="00865D58"/>
    <w:rsid w:val="008F6D82"/>
    <w:rsid w:val="049B1DAB"/>
    <w:rsid w:val="073B7770"/>
    <w:rsid w:val="07B264E8"/>
    <w:rsid w:val="0987718C"/>
    <w:rsid w:val="0E8317EF"/>
    <w:rsid w:val="0F535A31"/>
    <w:rsid w:val="0FE534E0"/>
    <w:rsid w:val="15361BB8"/>
    <w:rsid w:val="155F4AA1"/>
    <w:rsid w:val="18462ABE"/>
    <w:rsid w:val="185004E9"/>
    <w:rsid w:val="18A904EC"/>
    <w:rsid w:val="18B34D43"/>
    <w:rsid w:val="18D63FDF"/>
    <w:rsid w:val="197B5CE1"/>
    <w:rsid w:val="1D027955"/>
    <w:rsid w:val="2058711C"/>
    <w:rsid w:val="220F01D5"/>
    <w:rsid w:val="227D69A7"/>
    <w:rsid w:val="23FE56F3"/>
    <w:rsid w:val="2629139A"/>
    <w:rsid w:val="2C630126"/>
    <w:rsid w:val="2DD106FE"/>
    <w:rsid w:val="2EB841E3"/>
    <w:rsid w:val="321E264C"/>
    <w:rsid w:val="33E067D2"/>
    <w:rsid w:val="39992CD2"/>
    <w:rsid w:val="3D8D2D62"/>
    <w:rsid w:val="421E713B"/>
    <w:rsid w:val="44034FA5"/>
    <w:rsid w:val="4D970A96"/>
    <w:rsid w:val="4FB57455"/>
    <w:rsid w:val="51FB4BE0"/>
    <w:rsid w:val="52600143"/>
    <w:rsid w:val="56CF6441"/>
    <w:rsid w:val="573A4748"/>
    <w:rsid w:val="58D816A4"/>
    <w:rsid w:val="5A765FA5"/>
    <w:rsid w:val="5B1F051B"/>
    <w:rsid w:val="5C985DE2"/>
    <w:rsid w:val="5E9D018F"/>
    <w:rsid w:val="61C934F9"/>
    <w:rsid w:val="666D7A6C"/>
    <w:rsid w:val="667843FE"/>
    <w:rsid w:val="669319E0"/>
    <w:rsid w:val="6DD74F2C"/>
    <w:rsid w:val="70806DD1"/>
    <w:rsid w:val="71271E48"/>
    <w:rsid w:val="74CC2343"/>
    <w:rsid w:val="75EC545C"/>
    <w:rsid w:val="761847AF"/>
    <w:rsid w:val="76C05E5D"/>
    <w:rsid w:val="77EC156E"/>
    <w:rsid w:val="78B917D2"/>
    <w:rsid w:val="7AA51542"/>
    <w:rsid w:val="7C58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rPr>
      <w:rFonts w:ascii="Calibri" w:eastAsia="宋体"/>
    </w:rPr>
  </w:style>
  <w:style w:type="paragraph" w:styleId="a3">
    <w:name w:val="Body Text Indent"/>
    <w:basedOn w:val="a"/>
    <w:next w:val="a"/>
    <w:qFormat/>
    <w:pPr>
      <w:adjustRightInd w:val="0"/>
      <w:snapToGrid w:val="0"/>
      <w:spacing w:line="660" w:lineRule="exact"/>
      <w:ind w:firstLine="645"/>
    </w:pPr>
    <w:rPr>
      <w:rFonts w:ascii="仿宋_GB2312" w:eastAsia="仿宋_GB2312" w:hAnsi="Calibri"/>
      <w:kern w:val="0"/>
      <w:sz w:val="32"/>
    </w:rPr>
  </w:style>
  <w:style w:type="paragraph" w:styleId="a4">
    <w:name w:val="Body Text"/>
    <w:basedOn w:val="a"/>
    <w:qFormat/>
    <w:rPr>
      <w:sz w:val="24"/>
    </w:rPr>
  </w:style>
  <w:style w:type="paragraph" w:styleId="a5">
    <w:name w:val="Normal (Web)"/>
    <w:basedOn w:val="a"/>
    <w:qFormat/>
    <w:pPr>
      <w:spacing w:beforeAutospacing="1" w:afterAutospacing="1"/>
      <w:jc w:val="left"/>
    </w:pPr>
    <w:rPr>
      <w:kern w:val="0"/>
      <w:sz w:val="24"/>
    </w:rPr>
  </w:style>
  <w:style w:type="paragraph" w:styleId="a6">
    <w:name w:val="Body Text First Indent"/>
    <w:basedOn w:val="a4"/>
    <w:qFormat/>
    <w:pPr>
      <w:ind w:firstLineChars="100" w:firstLine="100"/>
    </w:pPr>
  </w:style>
  <w:style w:type="paragraph" w:customStyle="1" w:styleId="BodyText1I2">
    <w:name w:val="BodyText1I2"/>
    <w:basedOn w:val="BodyTextIndent"/>
    <w:qFormat/>
    <w:pPr>
      <w:snapToGrid w:val="0"/>
      <w:spacing w:after="0" w:line="660" w:lineRule="exact"/>
      <w:ind w:leftChars="0" w:left="0" w:firstLineChars="200" w:firstLine="420"/>
    </w:pPr>
    <w:rPr>
      <w:rFonts w:ascii="仿宋_GB2312" w:eastAsia="仿宋_GB2312"/>
      <w:kern w:val="0"/>
      <w:sz w:val="32"/>
    </w:rPr>
  </w:style>
  <w:style w:type="paragraph" w:customStyle="1" w:styleId="BodyTextIndent">
    <w:name w:val="BodyTextIndent"/>
    <w:basedOn w:val="a"/>
    <w:qFormat/>
    <w:pPr>
      <w:spacing w:after="120"/>
      <w:ind w:leftChars="200" w:left="420"/>
      <w:textAlignment w:val="baseline"/>
    </w:pPr>
  </w:style>
  <w:style w:type="paragraph" w:customStyle="1" w:styleId="-1">
    <w:name w:val="正文-公1"/>
    <w:basedOn w:val="a"/>
    <w:qFormat/>
    <w:pPr>
      <w:ind w:firstLineChars="200" w:firstLine="200"/>
    </w:pPr>
    <w:rPr>
      <w:color w:val="000000"/>
      <w:szCs w:val="20"/>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7">
    <w:name w:val="List Paragraph"/>
    <w:basedOn w:val="a"/>
    <w:uiPriority w:val="34"/>
    <w:qFormat/>
    <w:pPr>
      <w:ind w:firstLineChars="200" w:firstLine="420"/>
    </w:pPr>
    <w:rPr>
      <w:rFonts w:ascii="Calibri" w:hAnsi="Calibri"/>
      <w:szCs w:val="22"/>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rPr>
      <w:rFonts w:ascii="Calibri" w:eastAsia="宋体"/>
    </w:rPr>
  </w:style>
  <w:style w:type="paragraph" w:styleId="a3">
    <w:name w:val="Body Text Indent"/>
    <w:basedOn w:val="a"/>
    <w:next w:val="a"/>
    <w:qFormat/>
    <w:pPr>
      <w:adjustRightInd w:val="0"/>
      <w:snapToGrid w:val="0"/>
      <w:spacing w:line="660" w:lineRule="exact"/>
      <w:ind w:firstLine="645"/>
    </w:pPr>
    <w:rPr>
      <w:rFonts w:ascii="仿宋_GB2312" w:eastAsia="仿宋_GB2312" w:hAnsi="Calibri"/>
      <w:kern w:val="0"/>
      <w:sz w:val="32"/>
    </w:rPr>
  </w:style>
  <w:style w:type="paragraph" w:styleId="a4">
    <w:name w:val="Body Text"/>
    <w:basedOn w:val="a"/>
    <w:qFormat/>
    <w:rPr>
      <w:sz w:val="24"/>
    </w:rPr>
  </w:style>
  <w:style w:type="paragraph" w:styleId="a5">
    <w:name w:val="Normal (Web)"/>
    <w:basedOn w:val="a"/>
    <w:qFormat/>
    <w:pPr>
      <w:spacing w:beforeAutospacing="1" w:afterAutospacing="1"/>
      <w:jc w:val="left"/>
    </w:pPr>
    <w:rPr>
      <w:kern w:val="0"/>
      <w:sz w:val="24"/>
    </w:rPr>
  </w:style>
  <w:style w:type="paragraph" w:styleId="a6">
    <w:name w:val="Body Text First Indent"/>
    <w:basedOn w:val="a4"/>
    <w:qFormat/>
    <w:pPr>
      <w:ind w:firstLineChars="100" w:firstLine="100"/>
    </w:pPr>
  </w:style>
  <w:style w:type="paragraph" w:customStyle="1" w:styleId="BodyText1I2">
    <w:name w:val="BodyText1I2"/>
    <w:basedOn w:val="BodyTextIndent"/>
    <w:qFormat/>
    <w:pPr>
      <w:snapToGrid w:val="0"/>
      <w:spacing w:after="0" w:line="660" w:lineRule="exact"/>
      <w:ind w:leftChars="0" w:left="0" w:firstLineChars="200" w:firstLine="420"/>
    </w:pPr>
    <w:rPr>
      <w:rFonts w:ascii="仿宋_GB2312" w:eastAsia="仿宋_GB2312"/>
      <w:kern w:val="0"/>
      <w:sz w:val="32"/>
    </w:rPr>
  </w:style>
  <w:style w:type="paragraph" w:customStyle="1" w:styleId="BodyTextIndent">
    <w:name w:val="BodyTextIndent"/>
    <w:basedOn w:val="a"/>
    <w:qFormat/>
    <w:pPr>
      <w:spacing w:after="120"/>
      <w:ind w:leftChars="200" w:left="420"/>
      <w:textAlignment w:val="baseline"/>
    </w:pPr>
  </w:style>
  <w:style w:type="paragraph" w:customStyle="1" w:styleId="-1">
    <w:name w:val="正文-公1"/>
    <w:basedOn w:val="a"/>
    <w:qFormat/>
    <w:pPr>
      <w:ind w:firstLineChars="200" w:firstLine="200"/>
    </w:pPr>
    <w:rPr>
      <w:color w:val="000000"/>
      <w:szCs w:val="20"/>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7">
    <w:name w:val="List Paragraph"/>
    <w:basedOn w:val="a"/>
    <w:uiPriority w:val="34"/>
    <w:qFormat/>
    <w:pPr>
      <w:ind w:firstLineChars="200" w:firstLine="420"/>
    </w:pPr>
    <w:rPr>
      <w:rFonts w:ascii="Calibri" w:hAnsi="Calibri"/>
      <w:szCs w:val="22"/>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6345</Words>
  <Characters>230</Characters>
  <Application>Microsoft Office Word</Application>
  <DocSecurity>0</DocSecurity>
  <Lines>1</Lines>
  <Paragraphs>13</Paragraphs>
  <ScaleCrop>false</ScaleCrop>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舍  得</dc:creator>
  <cp:lastModifiedBy>xb21cn</cp:lastModifiedBy>
  <cp:revision>5</cp:revision>
  <dcterms:created xsi:type="dcterms:W3CDTF">2021-09-08T09:23:00Z</dcterms:created>
  <dcterms:modified xsi:type="dcterms:W3CDTF">2024-10-14T11:44:00Z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38A3963F4EC549D3BC8B711BDA7CF0FE</vt:lpwstr>
  </property>
</Properties>
</file>