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2A50F">
      <w:pPr>
        <w:widowControl/>
        <w:spacing w:line="600" w:lineRule="exact"/>
        <w:jc w:val="center"/>
        <w:rPr>
          <w:rFonts w:ascii="黑体" w:hAnsi="黑体" w:eastAsia="黑体" w:cs="黑体"/>
          <w:b/>
          <w:bCs/>
          <w:sz w:val="36"/>
          <w:szCs w:val="36"/>
        </w:rPr>
      </w:pPr>
    </w:p>
    <w:p w14:paraId="39831C17">
      <w:pPr>
        <w:widowControl/>
        <w:spacing w:line="600" w:lineRule="exact"/>
        <w:jc w:val="center"/>
        <w:rPr>
          <w:rFonts w:ascii="黑体" w:hAnsi="黑体" w:eastAsia="黑体" w:cs="黑体"/>
          <w:b/>
          <w:bCs/>
          <w:sz w:val="36"/>
          <w:szCs w:val="36"/>
        </w:rPr>
      </w:pPr>
      <w:r>
        <w:rPr>
          <w:rFonts w:hint="eastAsia" w:ascii="黑体" w:hAnsi="黑体" w:eastAsia="黑体" w:cs="黑体"/>
          <w:b/>
          <w:bCs/>
          <w:sz w:val="36"/>
          <w:szCs w:val="36"/>
        </w:rPr>
        <w:t>202</w:t>
      </w:r>
      <w:r>
        <w:rPr>
          <w:rFonts w:hint="eastAsia" w:ascii="黑体" w:hAnsi="黑体" w:eastAsia="黑体" w:cs="黑体"/>
          <w:b/>
          <w:bCs/>
          <w:sz w:val="36"/>
          <w:szCs w:val="36"/>
          <w:lang w:val="en-US" w:eastAsia="zh-CN"/>
        </w:rPr>
        <w:t>2</w:t>
      </w:r>
      <w:r>
        <w:rPr>
          <w:rFonts w:hint="eastAsia" w:ascii="黑体" w:hAnsi="黑体" w:eastAsia="黑体" w:cs="黑体"/>
          <w:b/>
          <w:bCs/>
          <w:sz w:val="36"/>
          <w:szCs w:val="36"/>
        </w:rPr>
        <w:t>年</w:t>
      </w:r>
      <w:r>
        <w:rPr>
          <w:rFonts w:hint="eastAsia" w:ascii="黑体" w:hAnsi="黑体" w:eastAsia="黑体" w:cs="黑体"/>
          <w:b/>
          <w:bCs/>
          <w:kern w:val="0"/>
          <w:sz w:val="36"/>
          <w:szCs w:val="36"/>
        </w:rPr>
        <w:t>邵阳市大祥区商务局</w:t>
      </w:r>
      <w:r>
        <w:rPr>
          <w:rFonts w:hint="eastAsia" w:ascii="黑体" w:hAnsi="黑体" w:eastAsia="黑体" w:cs="黑体"/>
          <w:b/>
          <w:bCs/>
          <w:sz w:val="36"/>
          <w:szCs w:val="36"/>
        </w:rPr>
        <w:t>部门</w:t>
      </w:r>
      <w:r>
        <w:rPr>
          <w:rFonts w:hint="eastAsia" w:ascii="黑体" w:hAnsi="黑体" w:eastAsia="黑体" w:cs="黑体"/>
          <w:b/>
          <w:bCs/>
          <w:sz w:val="36"/>
          <w:szCs w:val="36"/>
          <w:lang w:eastAsia="zh-CN"/>
        </w:rPr>
        <w:t>整体支出</w:t>
      </w:r>
      <w:r>
        <w:rPr>
          <w:rFonts w:hint="eastAsia" w:ascii="黑体" w:hAnsi="黑体" w:eastAsia="黑体" w:cs="黑体"/>
          <w:b/>
          <w:bCs/>
          <w:sz w:val="36"/>
          <w:szCs w:val="36"/>
        </w:rPr>
        <w:t>绩效</w:t>
      </w:r>
    </w:p>
    <w:p w14:paraId="50FC121E">
      <w:pPr>
        <w:widowControl/>
        <w:spacing w:line="600" w:lineRule="exact"/>
        <w:jc w:val="center"/>
        <w:rPr>
          <w:rFonts w:ascii="黑体" w:hAnsi="黑体" w:eastAsia="黑体" w:cs="黑体"/>
          <w:b/>
          <w:bCs/>
          <w:sz w:val="36"/>
          <w:szCs w:val="36"/>
        </w:rPr>
      </w:pPr>
      <w:r>
        <w:rPr>
          <w:rFonts w:hint="eastAsia" w:ascii="黑体" w:hAnsi="黑体" w:eastAsia="黑体" w:cs="黑体"/>
          <w:b/>
          <w:bCs/>
          <w:sz w:val="36"/>
          <w:szCs w:val="36"/>
        </w:rPr>
        <w:t>评价报告</w:t>
      </w:r>
    </w:p>
    <w:p w14:paraId="35A9E0F2">
      <w:pPr>
        <w:widowControl/>
        <w:spacing w:line="600" w:lineRule="exact"/>
        <w:rPr>
          <w:rFonts w:ascii="黑体" w:hAnsi="黑体" w:eastAsia="黑体" w:cs="黑体"/>
          <w:b/>
          <w:bCs/>
          <w:sz w:val="36"/>
          <w:szCs w:val="36"/>
        </w:rPr>
      </w:pPr>
    </w:p>
    <w:p w14:paraId="46384125">
      <w:pPr>
        <w:widowControl/>
        <w:spacing w:line="600" w:lineRule="exact"/>
        <w:ind w:firstLine="720" w:firstLineChars="200"/>
        <w:rPr>
          <w:rFonts w:ascii="黑体" w:hAnsi="黑体" w:eastAsia="黑体" w:cs="黑体"/>
          <w:bCs/>
          <w:kern w:val="0"/>
          <w:sz w:val="36"/>
          <w:szCs w:val="36"/>
        </w:rPr>
      </w:pPr>
      <w:r>
        <w:rPr>
          <w:rFonts w:hint="eastAsia" w:ascii="黑体" w:hAnsi="黑体" w:eastAsia="黑体" w:cs="黑体"/>
          <w:bCs/>
          <w:kern w:val="0"/>
          <w:sz w:val="36"/>
          <w:szCs w:val="36"/>
        </w:rPr>
        <w:t>一、</w:t>
      </w:r>
      <w:r>
        <w:rPr>
          <w:rFonts w:hint="eastAsia" w:ascii="黑体" w:hAnsi="黑体" w:eastAsia="黑体" w:cs="黑体"/>
          <w:bCs/>
          <w:kern w:val="0"/>
          <w:sz w:val="32"/>
          <w:szCs w:val="32"/>
        </w:rPr>
        <w:t>大祥区商务局部门概况</w:t>
      </w:r>
    </w:p>
    <w:p w14:paraId="74F714B9">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（一）部门职责</w:t>
      </w:r>
    </w:p>
    <w:p w14:paraId="25C25327">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贯彻执行国家国内外贸易、国际经济合作和区域经济合作的发展战略、政策，起草我区国内外贸易、招商引资、承接产业转移、对外援助、对外投资和对外经济合作的政策措施和实施办法，研究经济全球化、区域经济合作、现代流通方式的发展趋势和流通体制改革并提出建议。</w:t>
      </w:r>
    </w:p>
    <w:p w14:paraId="78F11C10">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2、负责推进流通产业结构调整，指导流通企业改革，促进商贸服务业和社区商业发展，提出促进商贸中小企业发展的政策建议，推动流通标准化和连锁经营、商业特许经营、物流配送、电子商务等现代流通方式的发展。</w:t>
      </w:r>
    </w:p>
    <w:p w14:paraId="50C860E6">
      <w:pPr>
        <w:widowControl/>
        <w:shd w:val="clear" w:color="auto" w:fill="FFFFFF"/>
        <w:spacing w:before="120" w:line="360" w:lineRule="atLeast"/>
        <w:ind w:firstLine="640"/>
        <w:jc w:val="left"/>
        <w:rPr>
          <w:rFonts w:asciiTheme="minorEastAsia" w:hAnsiTheme="minorEastAsia" w:eastAsiaTheme="minorEastAsia" w:cstheme="minorEastAsia"/>
          <w:kern w:val="0"/>
          <w:sz w:val="32"/>
          <w:szCs w:val="32"/>
          <w:shd w:val="clear" w:color="auto" w:fill="FFFFFF"/>
          <w:lang w:bidi="ar"/>
        </w:rPr>
      </w:pPr>
      <w:r>
        <w:rPr>
          <w:rFonts w:hint="eastAsia" w:asciiTheme="minorEastAsia" w:hAnsiTheme="minorEastAsia" w:eastAsiaTheme="minorEastAsia" w:cstheme="minorEastAsia"/>
          <w:kern w:val="0"/>
          <w:sz w:val="32"/>
          <w:szCs w:val="32"/>
          <w:shd w:val="clear" w:color="auto" w:fill="FFFFFF"/>
          <w:lang w:bidi="ar"/>
        </w:rPr>
        <w:t>3、拟订全区内外贸易发展规划，促进城乡市场发展，研究提出引导国内外资金投向市场体系建设的政策建议，指导大宗产品批发市场规划和城市商业网点规划、商业体系建设工作，推进农村市场体系建设，组织实施农村现代流通网络工程。</w:t>
      </w:r>
    </w:p>
    <w:p w14:paraId="6E98C3D3">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4、推动商务领域信用建设，指导商业信用销售，建立市场诚信公共服务平台；按有关规定对特殊流通行业（不含典当、融资租赁和商业保理）进行监督管理。</w:t>
      </w:r>
    </w:p>
    <w:p w14:paraId="7E58E1CD">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5、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r>
    </w:p>
    <w:p w14:paraId="483F9E4D">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6、贯彻执行国家进出口商品、加工贸易管理办法和进出口管理商品、技术目录，拟订促进外贸增长方式转变的政策措施，组织实施重要工业品、原材料和重要农产品进出口总量计划，会同有关部门协调大宗进出口商品，指导贸易促进活动和外贸促进体系建设。</w:t>
      </w:r>
    </w:p>
    <w:p w14:paraId="1FAE7DCE">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7、贯彻执行国家对外技术贸易、出口管制以及鼓励技术和成套设备进出口的贸易政策，推进进出口贸易标准化工作；依法监督技术引进、设备进口、国家限制出口技术的工作。</w:t>
      </w:r>
    </w:p>
    <w:p w14:paraId="2A7C6FEE">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8、牵头拟订服务贸易发展规划并开展相关工作；会同有关部门制定促进服务出口、服务外包的规划、政策并组织实施，推动服务外包平台建设。</w:t>
      </w:r>
    </w:p>
    <w:p w14:paraId="67370330">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9、贯彻执行我国多双边（含区域、自由贸易区）经贸合作战略和政策，推进我区与其他国家（地区）的经贸往来与投资贸易合作；牵头承担全区商务领域涉及世界贸易组织事务的相关工作，负责对外经济贸易协调工作。</w:t>
      </w:r>
    </w:p>
    <w:p w14:paraId="0AC5A33F">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10、负责组织协调反倾销、反补贴、保障措施及其他与进出口公平贸易相关的工作，协助开展对外贸易调查和产业损害调查，指导协调产业安全应对工作。</w:t>
      </w:r>
    </w:p>
    <w:p w14:paraId="08596103">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11、承担全区招商引资工作，拟订并组织实施全区招商引资工作；依法监督检查外商投资企业执行有关法律法规规章、合同章程的情况并协调解决有关问题；规范招商引资活动。</w:t>
      </w:r>
    </w:p>
    <w:p w14:paraId="48CE92C3">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12、拟订并组织实施全区对外经济合作政策；管理和监督对外承包工程、劳务合作和境外就业等；对我区企业在境外投资开办企业和机构（金融企业除外）实施监督和管理工作。</w:t>
      </w:r>
    </w:p>
    <w:p w14:paraId="4DC52AB0">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13、负责全区对外援助项目，和接受多边对我区的无偿援助和赠款。</w:t>
      </w:r>
    </w:p>
    <w:p w14:paraId="082FF87F">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14、贯彻执行国家对香港、澳门特别行政区和台湾地区的经贸规划、政策，指导我区对港、澳、台地区贸易和经贸合作活动，协调港、澳、台商投资管理工作。</w:t>
      </w:r>
    </w:p>
    <w:p w14:paraId="571C8BAC">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15、承担会展业促进与管理有关工作。指导和联系全区各类商贸行业协会、学会等社团组织工作。</w:t>
      </w:r>
    </w:p>
    <w:p w14:paraId="6EB74FDB">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16、承担全区商务系统统计及其信息发布工作，提供信息咨询服务，指导全区流通领域信息网络和电子商务建设。</w:t>
      </w:r>
    </w:p>
    <w:p w14:paraId="5E5AFB31">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17、承办区委和区政府交办的其他事项。</w:t>
      </w:r>
    </w:p>
    <w:p w14:paraId="27F29CD4">
      <w:pPr>
        <w:widowControl/>
        <w:shd w:val="clear" w:color="auto" w:fill="FFFFFF"/>
        <w:spacing w:before="120" w:line="360" w:lineRule="atLeast"/>
        <w:ind w:firstLine="641"/>
        <w:jc w:val="left"/>
        <w:rPr>
          <w:rFonts w:ascii="微软雅黑" w:hAnsi="微软雅黑" w:eastAsia="微软雅黑" w:cs="微软雅黑"/>
          <w:szCs w:val="21"/>
        </w:rPr>
      </w:pPr>
      <w:r>
        <w:rPr>
          <w:rFonts w:hint="eastAsia" w:ascii="宋体" w:hAnsi="宋体" w:cs="宋体"/>
          <w:b/>
          <w:bCs/>
          <w:kern w:val="0"/>
          <w:sz w:val="32"/>
          <w:szCs w:val="32"/>
          <w:shd w:val="clear" w:color="auto" w:fill="FFFFFF"/>
          <w:lang w:bidi="ar"/>
        </w:rPr>
        <w:t>(二)内设机构设置</w:t>
      </w:r>
    </w:p>
    <w:p w14:paraId="3A3F5070">
      <w:pPr>
        <w:widowControl/>
        <w:shd w:val="clear" w:color="auto" w:fill="FFFFFF"/>
        <w:spacing w:before="120" w:line="360" w:lineRule="atLeast"/>
        <w:ind w:firstLine="64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 w:val="32"/>
          <w:szCs w:val="32"/>
          <w:shd w:val="clear" w:color="auto" w:fill="FFFFFF"/>
          <w:lang w:bidi="ar"/>
        </w:rPr>
        <w:t>根据区委、区政府批准的《中共邵阳市大祥区委办公室、邵阳市大祥区人民政府办公室关于印发&lt;邵阳市大祥区商务局职能配置、内设机构和人员编制规定&gt;的通知》(大办字〔2019〕28号)，设立邵阳市大祥区商务局及其内设机构。邵阳市大祥区商务局机关行政编制5名，机关后勤服务全额拨款事业编制1名。内设二级机构：1.区投资促进事务中心作为区商务局管理的副科级公益一类全额拨款事业单位，核定事业编制4名，设主任1名。2.区市场管理中心作为区商务局管理的正股级公益一类全额拨款事业单位，核定事业编制2名。3.区农贸市场服务站作为区商务局管理的正股级公益二类差额拨款事业单位，核定事业编制5名。本年度实际在职2</w:t>
      </w:r>
      <w:r>
        <w:rPr>
          <w:rFonts w:hint="eastAsia" w:asciiTheme="minorEastAsia" w:hAnsiTheme="minorEastAsia" w:eastAsiaTheme="minorEastAsia" w:cstheme="minorEastAsia"/>
          <w:kern w:val="0"/>
          <w:sz w:val="32"/>
          <w:szCs w:val="32"/>
          <w:shd w:val="clear" w:color="auto" w:fill="FFFFFF"/>
          <w:lang w:val="en-US" w:eastAsia="zh-CN" w:bidi="ar"/>
        </w:rPr>
        <w:t>0</w:t>
      </w:r>
      <w:r>
        <w:rPr>
          <w:rFonts w:hint="eastAsia" w:asciiTheme="minorEastAsia" w:hAnsiTheme="minorEastAsia" w:eastAsiaTheme="minorEastAsia" w:cstheme="minorEastAsia"/>
          <w:kern w:val="0"/>
          <w:sz w:val="32"/>
          <w:szCs w:val="32"/>
          <w:shd w:val="clear" w:color="auto" w:fill="FFFFFF"/>
          <w:lang w:bidi="ar"/>
        </w:rPr>
        <w:t>人，退休人员</w:t>
      </w:r>
      <w:r>
        <w:rPr>
          <w:rFonts w:hint="eastAsia" w:asciiTheme="minorEastAsia" w:hAnsiTheme="minorEastAsia" w:eastAsiaTheme="minorEastAsia" w:cstheme="minorEastAsia"/>
          <w:kern w:val="0"/>
          <w:sz w:val="32"/>
          <w:szCs w:val="32"/>
          <w:shd w:val="clear" w:color="auto" w:fill="FFFFFF"/>
          <w:lang w:val="en-US" w:eastAsia="zh-CN" w:bidi="ar"/>
        </w:rPr>
        <w:t>7</w:t>
      </w:r>
      <w:r>
        <w:rPr>
          <w:rFonts w:hint="eastAsia" w:asciiTheme="minorEastAsia" w:hAnsiTheme="minorEastAsia" w:eastAsiaTheme="minorEastAsia" w:cstheme="minorEastAsia"/>
          <w:kern w:val="0"/>
          <w:sz w:val="32"/>
          <w:szCs w:val="32"/>
          <w:shd w:val="clear" w:color="auto" w:fill="FFFFFF"/>
          <w:lang w:bidi="ar"/>
        </w:rPr>
        <w:t>人。</w:t>
      </w:r>
    </w:p>
    <w:p w14:paraId="5918DA98">
      <w:pPr>
        <w:ind w:firstLine="640" w:firstLineChars="200"/>
        <w:rPr>
          <w:rFonts w:ascii="黑体" w:hAnsi="黑体" w:eastAsia="黑体"/>
          <w:sz w:val="32"/>
          <w:szCs w:val="32"/>
        </w:rPr>
      </w:pPr>
      <w:r>
        <w:rPr>
          <w:rFonts w:hint="eastAsia" w:ascii="黑体" w:hAnsi="黑体" w:eastAsia="黑体"/>
          <w:sz w:val="32"/>
          <w:szCs w:val="32"/>
        </w:rPr>
        <w:t>二、财务收支情况说明</w:t>
      </w:r>
    </w:p>
    <w:p w14:paraId="072A1D90">
      <w:pPr>
        <w:pStyle w:val="6"/>
        <w:keepNext w:val="0"/>
        <w:keepLines w:val="0"/>
        <w:pageBreakBefore w:val="0"/>
        <w:widowControl/>
        <w:numPr>
          <w:ilvl w:val="0"/>
          <w:numId w:val="0"/>
        </w:numPr>
        <w:suppressLineNumbers w:val="0"/>
        <w:kinsoku/>
        <w:wordWrap/>
        <w:overflowPunct/>
        <w:topLinePunct/>
        <w:autoSpaceDE/>
        <w:autoSpaceDN/>
        <w:bidi w:val="0"/>
        <w:adjustRightInd/>
        <w:snapToGrid/>
        <w:spacing w:before="450" w:beforeAutospacing="0" w:after="0" w:afterAutospacing="0" w:line="140" w:lineRule="exact"/>
        <w:ind w:left="641" w:leftChars="0" w:right="0" w:rightChars="0"/>
        <w:jc w:val="both"/>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部门整体支出概况</w:t>
      </w:r>
    </w:p>
    <w:p w14:paraId="3DD35502">
      <w:pPr>
        <w:spacing w:line="360" w:lineRule="auto"/>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202</w:t>
      </w:r>
      <w:r>
        <w:rPr>
          <w:rFonts w:hint="eastAsia" w:ascii="宋体" w:hAnsi="宋体" w:cs="宋体"/>
          <w:sz w:val="30"/>
          <w:szCs w:val="30"/>
          <w:lang w:val="en-US" w:eastAsia="zh-CN"/>
        </w:rPr>
        <w:t>2</w:t>
      </w:r>
      <w:r>
        <w:rPr>
          <w:rFonts w:hint="eastAsia" w:ascii="宋体" w:hAnsi="宋体" w:eastAsia="宋体" w:cs="宋体"/>
          <w:sz w:val="30"/>
          <w:szCs w:val="30"/>
          <w:lang w:eastAsia="zh-CN"/>
        </w:rPr>
        <w:t>年全年预算数为</w:t>
      </w:r>
      <w:r>
        <w:rPr>
          <w:rFonts w:hint="eastAsia" w:ascii="宋体" w:hAnsi="宋体" w:eastAsia="宋体" w:cs="宋体"/>
          <w:sz w:val="30"/>
          <w:szCs w:val="30"/>
          <w:lang w:val="en-US" w:eastAsia="zh-CN"/>
        </w:rPr>
        <w:t>194.09</w:t>
      </w:r>
      <w:r>
        <w:rPr>
          <w:rFonts w:hint="eastAsia" w:ascii="宋体" w:hAnsi="宋体" w:eastAsia="宋体" w:cs="宋体"/>
          <w:sz w:val="30"/>
          <w:szCs w:val="30"/>
          <w:lang w:eastAsia="zh-CN"/>
        </w:rPr>
        <w:t>万元，其中，基本支出预算数为</w:t>
      </w:r>
      <w:r>
        <w:rPr>
          <w:rFonts w:hint="eastAsia" w:ascii="宋体" w:hAnsi="宋体" w:cs="宋体"/>
          <w:sz w:val="30"/>
          <w:szCs w:val="30"/>
          <w:lang w:val="en-US" w:eastAsia="zh-CN"/>
        </w:rPr>
        <w:t>188.69</w:t>
      </w:r>
      <w:r>
        <w:rPr>
          <w:rFonts w:hint="eastAsia" w:ascii="宋体" w:hAnsi="宋体" w:eastAsia="宋体" w:cs="宋体"/>
          <w:sz w:val="30"/>
          <w:szCs w:val="30"/>
          <w:lang w:eastAsia="zh-CN"/>
        </w:rPr>
        <w:t>万元，项目支出预算数</w:t>
      </w:r>
      <w:r>
        <w:rPr>
          <w:rFonts w:hint="eastAsia" w:ascii="宋体" w:hAnsi="宋体" w:cs="宋体"/>
          <w:sz w:val="30"/>
          <w:szCs w:val="30"/>
          <w:lang w:val="en-US" w:eastAsia="zh-CN"/>
        </w:rPr>
        <w:t>5.4</w:t>
      </w:r>
      <w:r>
        <w:rPr>
          <w:rFonts w:hint="eastAsia" w:ascii="宋体" w:hAnsi="宋体" w:eastAsia="宋体" w:cs="宋体"/>
          <w:sz w:val="30"/>
          <w:szCs w:val="30"/>
          <w:lang w:eastAsia="zh-CN"/>
        </w:rPr>
        <w:t>万元。资金总体支出</w:t>
      </w:r>
      <w:r>
        <w:rPr>
          <w:rFonts w:hint="eastAsia" w:ascii="宋体" w:hAnsi="宋体" w:cs="宋体"/>
          <w:sz w:val="30"/>
          <w:szCs w:val="30"/>
          <w:lang w:val="en-US" w:eastAsia="zh-CN"/>
        </w:rPr>
        <w:t>859.25</w:t>
      </w:r>
      <w:r>
        <w:rPr>
          <w:rFonts w:hint="eastAsia" w:ascii="宋体" w:hAnsi="宋体" w:eastAsia="宋体" w:cs="宋体"/>
          <w:sz w:val="30"/>
          <w:szCs w:val="30"/>
          <w:lang w:eastAsia="zh-CN"/>
        </w:rPr>
        <w:t>万元，其中，基本支出</w:t>
      </w:r>
      <w:r>
        <w:rPr>
          <w:rFonts w:hint="eastAsia" w:ascii="宋体" w:hAnsi="宋体" w:cs="宋体"/>
          <w:sz w:val="30"/>
          <w:szCs w:val="30"/>
          <w:lang w:val="en-US" w:eastAsia="zh-CN"/>
        </w:rPr>
        <w:t>292.95</w:t>
      </w:r>
      <w:r>
        <w:rPr>
          <w:rFonts w:hint="eastAsia" w:ascii="宋体" w:hAnsi="宋体" w:eastAsia="宋体" w:cs="宋体"/>
          <w:sz w:val="30"/>
          <w:szCs w:val="30"/>
          <w:lang w:eastAsia="zh-CN"/>
        </w:rPr>
        <w:t>万元，项目支出</w:t>
      </w:r>
      <w:r>
        <w:rPr>
          <w:rFonts w:hint="eastAsia" w:ascii="宋体" w:hAnsi="宋体" w:cs="宋体"/>
          <w:sz w:val="30"/>
          <w:szCs w:val="30"/>
          <w:lang w:val="en-US" w:eastAsia="zh-CN"/>
        </w:rPr>
        <w:t>566.3</w:t>
      </w:r>
      <w:r>
        <w:rPr>
          <w:rFonts w:hint="eastAsia" w:ascii="宋体" w:hAnsi="宋体" w:eastAsia="宋体" w:cs="宋体"/>
          <w:sz w:val="30"/>
          <w:szCs w:val="30"/>
          <w:lang w:eastAsia="zh-CN"/>
        </w:rPr>
        <w:t>万元。预算执行率为</w:t>
      </w:r>
      <w:r>
        <w:rPr>
          <w:rFonts w:hint="eastAsia" w:ascii="宋体" w:hAnsi="宋体" w:cs="宋体"/>
          <w:sz w:val="30"/>
          <w:szCs w:val="30"/>
          <w:lang w:val="en-US" w:eastAsia="zh-CN"/>
        </w:rPr>
        <w:t>442.71</w:t>
      </w:r>
      <w:r>
        <w:rPr>
          <w:rFonts w:hint="eastAsia" w:ascii="宋体" w:hAnsi="宋体" w:eastAsia="宋体" w:cs="宋体"/>
          <w:sz w:val="30"/>
          <w:szCs w:val="30"/>
          <w:lang w:eastAsia="zh-CN"/>
        </w:rPr>
        <w:t>%。</w:t>
      </w:r>
    </w:p>
    <w:p w14:paraId="564369B9">
      <w:pPr>
        <w:pStyle w:val="13"/>
        <w:spacing w:line="600" w:lineRule="exact"/>
        <w:ind w:firstLine="640" w:firstLineChars="200"/>
        <w:rPr>
          <w:rFonts w:hAnsi="黑体" w:cs="Times New Roman"/>
          <w:color w:val="auto"/>
          <w:sz w:val="32"/>
          <w:szCs w:val="32"/>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w:t>
      </w:r>
      <w:r>
        <w:rPr>
          <w:rFonts w:hint="eastAsia" w:hAnsi="黑体"/>
          <w:b/>
          <w:bCs/>
          <w:color w:val="auto"/>
          <w:sz w:val="32"/>
          <w:szCs w:val="32"/>
          <w:shd w:val="clear" w:color="auto" w:fill="FFFFFF"/>
        </w:rPr>
        <w:t>支出绩效情况</w:t>
      </w:r>
    </w:p>
    <w:p w14:paraId="6DB5ECDE">
      <w:pPr>
        <w:pStyle w:val="13"/>
        <w:spacing w:line="600" w:lineRule="exact"/>
        <w:ind w:firstLine="640" w:firstLineChars="200"/>
        <w:rPr>
          <w:rFonts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严格遵守各项财经纪律和财务管理制度，及时公开预决算，自觉接受财政和社会监督。加强财务管理，强化预算编制和执行，有效实施内部监督和控制，保证会计资料的真实性和完整性。实行“收支两条线”，确保财务收支平衡，加强财产物资管理，保障各项工作正常开展和目标任务完成。整体支出平稳，较好地实现社会效益和可持续效益目标。</w:t>
      </w:r>
    </w:p>
    <w:p w14:paraId="348A09F7">
      <w:pPr>
        <w:pStyle w:val="13"/>
        <w:spacing w:line="600" w:lineRule="exact"/>
        <w:ind w:left="420" w:leftChars="200"/>
        <w:rPr>
          <w:rFonts w:ascii="仿宋" w:hAnsi="仿宋" w:eastAsia="仿宋" w:cs="仿宋"/>
          <w:sz w:val="32"/>
        </w:rPr>
      </w:pPr>
    </w:p>
    <w:p w14:paraId="35287D05">
      <w:pPr>
        <w:pStyle w:val="13"/>
        <w:spacing w:line="600" w:lineRule="exact"/>
        <w:ind w:firstLine="640" w:firstLineChars="200"/>
        <w:rPr>
          <w:rFonts w:hAnsi="黑体" w:cs="Times New Roman"/>
          <w:color w:val="auto"/>
          <w:sz w:val="32"/>
          <w:szCs w:val="32"/>
        </w:rPr>
      </w:pPr>
      <w:r>
        <w:rPr>
          <w:rFonts w:hint="eastAsia" w:hAnsi="黑体" w:cs="Times New Roman"/>
          <w:color w:val="auto"/>
          <w:sz w:val="32"/>
          <w:szCs w:val="32"/>
        </w:rPr>
        <w:t>三、</w:t>
      </w:r>
      <w:r>
        <w:rPr>
          <w:rFonts w:hAnsi="黑体" w:cs="Times New Roman"/>
          <w:color w:val="auto"/>
          <w:sz w:val="32"/>
          <w:szCs w:val="32"/>
        </w:rPr>
        <w:t>关于</w:t>
      </w:r>
      <w:r>
        <w:rPr>
          <w:rFonts w:hint="eastAsia" w:hAnsi="黑体" w:cs="Times New Roman"/>
          <w:color w:val="auto"/>
          <w:sz w:val="32"/>
          <w:szCs w:val="32"/>
        </w:rPr>
        <w:t>202</w:t>
      </w:r>
      <w:r>
        <w:rPr>
          <w:rFonts w:hint="eastAsia" w:hAnsi="黑体" w:cs="Times New Roman"/>
          <w:color w:val="auto"/>
          <w:sz w:val="32"/>
          <w:szCs w:val="32"/>
          <w:lang w:val="en-US" w:eastAsia="zh-CN"/>
        </w:rPr>
        <w:t>2</w:t>
      </w:r>
      <w:r>
        <w:rPr>
          <w:rFonts w:hAnsi="黑体" w:cs="Times New Roman"/>
          <w:color w:val="auto"/>
          <w:sz w:val="32"/>
          <w:szCs w:val="32"/>
        </w:rPr>
        <w:t>年度预算绩效情况说</w:t>
      </w:r>
      <w:r>
        <w:rPr>
          <w:rFonts w:hint="eastAsia" w:hAnsi="黑体" w:cs="Times New Roman"/>
          <w:color w:val="auto"/>
          <w:sz w:val="32"/>
          <w:szCs w:val="32"/>
        </w:rPr>
        <w:t>明</w:t>
      </w:r>
    </w:p>
    <w:p w14:paraId="3E32B00B">
      <w:pPr>
        <w:widowControl/>
        <w:shd w:val="clear" w:color="auto" w:fill="FFFFFF"/>
        <w:spacing w:before="156" w:beforeLines="50" w:after="156" w:afterLines="50"/>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部门整体支出和项目支出实行绩效目标管理，纳入202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年部门整体支出绩效目标的金额</w:t>
      </w:r>
      <w:r>
        <w:rPr>
          <w:rFonts w:hint="eastAsia" w:eastAsia="仿宋_GB2312" w:cs="仿宋_GB2312"/>
          <w:kern w:val="0"/>
          <w:sz w:val="32"/>
          <w:szCs w:val="32"/>
          <w:lang w:val="en-US" w:eastAsia="zh-CN"/>
        </w:rPr>
        <w:t>859.25</w:t>
      </w:r>
      <w:r>
        <w:rPr>
          <w:rFonts w:hint="eastAsia" w:ascii="仿宋_GB2312" w:hAnsi="仿宋_GB2312" w:eastAsia="仿宋_GB2312" w:cs="仿宋_GB2312"/>
          <w:kern w:val="0"/>
          <w:sz w:val="32"/>
          <w:szCs w:val="32"/>
        </w:rPr>
        <w:t>万元，其中，基本支出</w:t>
      </w:r>
      <w:r>
        <w:rPr>
          <w:rFonts w:hint="eastAsia" w:eastAsia="仿宋_GB2312" w:cs="仿宋_GB2312"/>
          <w:kern w:val="0"/>
          <w:sz w:val="32"/>
          <w:szCs w:val="32"/>
          <w:lang w:val="en-US" w:eastAsia="zh-CN"/>
        </w:rPr>
        <w:t>292.95</w:t>
      </w:r>
      <w:r>
        <w:rPr>
          <w:rFonts w:hint="eastAsia" w:ascii="仿宋_GB2312" w:hAnsi="仿宋_GB2312" w:eastAsia="仿宋_GB2312" w:cs="仿宋_GB2312"/>
          <w:kern w:val="0"/>
          <w:sz w:val="32"/>
          <w:szCs w:val="32"/>
        </w:rPr>
        <w:t>万元，项目支出</w:t>
      </w:r>
      <w:r>
        <w:rPr>
          <w:rFonts w:hint="eastAsia" w:ascii="仿宋_GB2312" w:hAnsi="仿宋_GB2312" w:eastAsia="仿宋_GB2312" w:cs="仿宋_GB2312"/>
          <w:sz w:val="32"/>
          <w:szCs w:val="32"/>
          <w:lang w:val="en-US" w:eastAsia="zh-CN"/>
        </w:rPr>
        <w:t>566.3</w:t>
      </w:r>
      <w:r>
        <w:rPr>
          <w:rFonts w:hint="eastAsia" w:ascii="仿宋_GB2312" w:hAnsi="仿宋_GB2312" w:eastAsia="仿宋_GB2312" w:cs="仿宋_GB2312"/>
          <w:kern w:val="0"/>
          <w:sz w:val="32"/>
          <w:szCs w:val="32"/>
        </w:rPr>
        <w:t>万元。</w:t>
      </w:r>
    </w:p>
    <w:p w14:paraId="5DC5E0D1">
      <w:pPr>
        <w:pStyle w:val="13"/>
        <w:spacing w:line="600" w:lineRule="exact"/>
        <w:ind w:firstLine="640" w:firstLineChars="200"/>
        <w:rPr>
          <w:rFonts w:hAnsi="黑体"/>
          <w:color w:val="auto"/>
          <w:sz w:val="32"/>
          <w:szCs w:val="32"/>
          <w:shd w:val="clear" w:color="auto" w:fill="FFFFFF"/>
        </w:rPr>
      </w:pPr>
      <w:r>
        <w:rPr>
          <w:rFonts w:hint="eastAsia" w:hAnsi="黑体"/>
          <w:color w:val="auto"/>
          <w:sz w:val="32"/>
          <w:szCs w:val="32"/>
          <w:shd w:val="clear" w:color="auto" w:fill="FFFFFF"/>
        </w:rPr>
        <w:t>四、绩效完成情况</w:t>
      </w:r>
    </w:p>
    <w:p w14:paraId="34AD1F4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0"/>
          <w:position w:val="0"/>
          <w:sz w:val="32"/>
          <w:szCs w:val="32"/>
        </w:rPr>
        <w:t>20</w:t>
      </w:r>
      <w:r>
        <w:rPr>
          <w:rFonts w:hint="eastAsia" w:ascii="仿宋_GB2312" w:hAnsi="仿宋_GB2312" w:eastAsia="仿宋_GB2312" w:cs="仿宋_GB2312"/>
          <w:spacing w:val="0"/>
          <w:position w:val="0"/>
          <w:sz w:val="32"/>
          <w:szCs w:val="32"/>
          <w:lang w:val="en-US" w:eastAsia="zh-CN"/>
        </w:rPr>
        <w:t>22</w:t>
      </w:r>
      <w:r>
        <w:rPr>
          <w:rFonts w:hint="eastAsia" w:ascii="仿宋_GB2312" w:hAnsi="仿宋_GB2312" w:eastAsia="仿宋_GB2312" w:cs="仿宋_GB2312"/>
          <w:spacing w:val="0"/>
          <w:position w:val="0"/>
          <w:sz w:val="32"/>
          <w:szCs w:val="32"/>
        </w:rPr>
        <w:t>年，在区委、区政府的坚强领导和市商务局的指导帮助下，区商务局</w:t>
      </w:r>
      <w:r>
        <w:rPr>
          <w:rFonts w:hint="eastAsia" w:ascii="仿宋_GB2312" w:hAnsi="仿宋_GB2312" w:eastAsia="仿宋_GB2312" w:cs="仿宋_GB2312"/>
          <w:spacing w:val="0"/>
          <w:position w:val="0"/>
          <w:sz w:val="32"/>
          <w:szCs w:val="32"/>
          <w:lang w:eastAsia="zh-CN"/>
        </w:rPr>
        <w:t>坚持以习近平新时代中国特色社会主义思想为指导，立足新发展阶段，贯彻新发展理念，围绕</w:t>
      </w:r>
      <w:r>
        <w:rPr>
          <w:rFonts w:hint="eastAsia" w:ascii="仿宋_GB2312" w:hAnsi="仿宋_GB2312" w:eastAsia="仿宋_GB2312" w:cs="仿宋_GB2312"/>
          <w:spacing w:val="0"/>
          <w:position w:val="0"/>
          <w:sz w:val="32"/>
          <w:szCs w:val="32"/>
          <w:lang w:val="en-US" w:eastAsia="zh-CN"/>
        </w:rPr>
        <w:t>实施“三高四新”战略和</w:t>
      </w:r>
      <w:r>
        <w:rPr>
          <w:rFonts w:hint="eastAsia" w:ascii="仿宋_GB2312" w:hAnsi="仿宋_GB2312" w:eastAsia="仿宋_GB2312" w:cs="仿宋_GB2312"/>
          <w:spacing w:val="0"/>
          <w:position w:val="0"/>
          <w:sz w:val="32"/>
          <w:szCs w:val="32"/>
          <w:lang w:eastAsia="zh-CN"/>
        </w:rPr>
        <w:t>“</w:t>
      </w:r>
      <w:r>
        <w:rPr>
          <w:rFonts w:hint="eastAsia" w:ascii="仿宋_GB2312" w:hAnsi="仿宋_GB2312" w:eastAsia="仿宋_GB2312" w:cs="仿宋_GB2312"/>
          <w:spacing w:val="0"/>
          <w:position w:val="0"/>
          <w:sz w:val="32"/>
          <w:szCs w:val="32"/>
          <w:lang w:val="en-US" w:eastAsia="zh-CN"/>
        </w:rPr>
        <w:t>五城三园三中心</w:t>
      </w:r>
      <w:r>
        <w:rPr>
          <w:rFonts w:hint="eastAsia" w:ascii="仿宋_GB2312" w:hAnsi="仿宋_GB2312" w:eastAsia="仿宋_GB2312" w:cs="仿宋_GB2312"/>
          <w:spacing w:val="0"/>
          <w:position w:val="0"/>
          <w:sz w:val="32"/>
          <w:szCs w:val="32"/>
          <w:lang w:eastAsia="zh-CN"/>
        </w:rPr>
        <w:t>”建设目标，</w:t>
      </w:r>
      <w:r>
        <w:rPr>
          <w:rFonts w:hint="eastAsia" w:ascii="仿宋_GB2312" w:hAnsi="仿宋_GB2312" w:eastAsia="仿宋_GB2312" w:cs="仿宋_GB2312"/>
          <w:spacing w:val="0"/>
          <w:position w:val="0"/>
          <w:sz w:val="32"/>
          <w:szCs w:val="32"/>
        </w:rPr>
        <w:t>紧扣全年中心工作，全体干部职工齐心协力、求真务实、攻坚破难，</w:t>
      </w:r>
      <w:r>
        <w:rPr>
          <w:rFonts w:hint="eastAsia" w:ascii="仿宋_GB2312" w:hAnsi="仿宋" w:eastAsia="仿宋_GB2312"/>
          <w:sz w:val="32"/>
          <w:szCs w:val="32"/>
        </w:rPr>
        <w:t>积极抢抓湘南湘西承接产业转移示范区建设机遇</w:t>
      </w:r>
      <w:r>
        <w:rPr>
          <w:rFonts w:hint="eastAsia" w:ascii="仿宋_GB2312" w:hAnsi="仿宋" w:eastAsia="仿宋_GB2312"/>
          <w:sz w:val="32"/>
          <w:szCs w:val="32"/>
          <w:lang w:eastAsia="zh-CN"/>
        </w:rPr>
        <w:t>，主动</w:t>
      </w:r>
      <w:r>
        <w:rPr>
          <w:rFonts w:hint="eastAsia" w:ascii="仿宋_GB2312" w:hAnsi="仿宋_GB2312" w:eastAsia="仿宋_GB2312" w:cs="仿宋_GB2312"/>
          <w:spacing w:val="0"/>
          <w:position w:val="0"/>
          <w:sz w:val="32"/>
          <w:szCs w:val="32"/>
          <w:lang w:eastAsia="zh-CN"/>
        </w:rPr>
        <w:t>对接粤港澳大湾区，创新招商方式，</w:t>
      </w:r>
      <w:r>
        <w:rPr>
          <w:rFonts w:hint="eastAsia" w:ascii="仿宋_GB2312" w:hAnsi="仿宋" w:eastAsia="仿宋_GB2312"/>
          <w:sz w:val="32"/>
          <w:szCs w:val="32"/>
        </w:rPr>
        <w:t>稳</w:t>
      </w:r>
      <w:r>
        <w:rPr>
          <w:rFonts w:hint="eastAsia" w:ascii="仿宋_GB2312" w:hAnsi="仿宋" w:eastAsia="仿宋_GB2312"/>
          <w:sz w:val="32"/>
          <w:szCs w:val="32"/>
          <w:lang w:eastAsia="zh-CN"/>
        </w:rPr>
        <w:t>贸易，促消费，保增长，</w:t>
      </w:r>
      <w:r>
        <w:rPr>
          <w:rFonts w:hint="eastAsia" w:ascii="仿宋_GB2312" w:hAnsi="仿宋_GB2312" w:eastAsia="仿宋_GB2312" w:cs="仿宋_GB2312"/>
          <w:sz w:val="32"/>
          <w:szCs w:val="32"/>
          <w:lang w:val="en-US" w:eastAsia="zh-CN"/>
        </w:rPr>
        <w:t>商务经济稳步</w:t>
      </w:r>
      <w:r>
        <w:rPr>
          <w:rFonts w:hint="default"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lang w:val="en-US" w:eastAsia="zh-CN"/>
        </w:rPr>
        <w:t>。</w:t>
      </w:r>
    </w:p>
    <w:p w14:paraId="7063646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（一）、商务经济指标完成情况</w:t>
      </w:r>
    </w:p>
    <w:p w14:paraId="43F5D0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pacing w:val="0"/>
          <w:position w:val="0"/>
          <w:sz w:val="32"/>
          <w:szCs w:val="32"/>
          <w:lang w:val="en-US" w:eastAsia="zh-CN"/>
        </w:rPr>
        <w:t>1.内联引资情况：</w:t>
      </w:r>
      <w:r>
        <w:rPr>
          <w:rFonts w:hint="eastAsia" w:ascii="仿宋_GB2312" w:hAnsi="仿宋_GB2312" w:eastAsia="仿宋_GB2312" w:cs="仿宋_GB2312"/>
          <w:sz w:val="32"/>
          <w:szCs w:val="32"/>
          <w:lang w:val="en-US" w:eastAsia="zh-CN"/>
        </w:rPr>
        <w:t>全年引进内资810287.27万元，同比增幅10.49%，进度排名全市第5，增幅排名全市第9。引进三类500强企业1家，</w:t>
      </w:r>
      <w:r>
        <w:rPr>
          <w:rFonts w:hint="default" w:ascii="仿宋_GB2312" w:hAnsi="仿宋_GB2312" w:eastAsia="仿宋_GB2312" w:cs="仿宋_GB2312"/>
          <w:b w:val="0"/>
          <w:bCs w:val="0"/>
          <w:spacing w:val="0"/>
          <w:position w:val="0"/>
          <w:sz w:val="32"/>
          <w:szCs w:val="32"/>
          <w:lang w:val="en-US" w:eastAsia="zh-CN"/>
        </w:rPr>
        <w:t>湘商投资新注册企业3家，湘商回归签约项目4个，完成全年任务。</w:t>
      </w:r>
    </w:p>
    <w:p w14:paraId="6A275ED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仿宋_GB2312" w:hAnsi="仿宋_GB2312" w:eastAsia="仿宋_GB2312" w:cs="仿宋_GB2312"/>
          <w:color w:val="000000"/>
          <w:kern w:val="0"/>
          <w:sz w:val="31"/>
          <w:szCs w:val="31"/>
          <w:lang w:val="en-US" w:eastAsia="zh-CN"/>
        </w:rPr>
      </w:pPr>
      <w:r>
        <w:rPr>
          <w:rFonts w:hint="eastAsia" w:ascii="仿宋_GB2312" w:hAnsi="仿宋_GB2312" w:eastAsia="仿宋_GB2312" w:cs="仿宋_GB2312"/>
          <w:b/>
          <w:bCs/>
          <w:color w:val="000000"/>
          <w:kern w:val="0"/>
          <w:sz w:val="31"/>
          <w:szCs w:val="31"/>
          <w:lang w:val="en-US" w:eastAsia="zh-CN"/>
        </w:rPr>
        <w:t>2.外商直接投资情况：全年</w:t>
      </w:r>
      <w:r>
        <w:rPr>
          <w:rFonts w:hint="eastAsia" w:ascii="仿宋_GB2312" w:hAnsi="仿宋_GB2312" w:eastAsia="仿宋_GB2312" w:cs="仿宋_GB2312"/>
          <w:sz w:val="32"/>
          <w:szCs w:val="32"/>
          <w:lang w:val="en-US" w:eastAsia="zh-CN"/>
        </w:rPr>
        <w:t>实际使用外资9.38万美元，进度排名全市第8</w:t>
      </w:r>
      <w:r>
        <w:rPr>
          <w:rFonts w:hint="eastAsia" w:ascii="仿宋_GB2312" w:hAnsi="仿宋_GB2312" w:eastAsia="仿宋_GB2312" w:cs="仿宋_GB2312"/>
          <w:color w:val="000000"/>
          <w:kern w:val="0"/>
          <w:sz w:val="31"/>
          <w:szCs w:val="31"/>
          <w:lang w:val="en-US" w:eastAsia="zh-CN"/>
        </w:rPr>
        <w:t>。</w:t>
      </w:r>
    </w:p>
    <w:p w14:paraId="1978599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eastAsia"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b/>
          <w:bCs/>
          <w:color w:val="000000"/>
          <w:kern w:val="0"/>
          <w:sz w:val="31"/>
          <w:szCs w:val="31"/>
          <w:lang w:val="en-US" w:eastAsia="zh-CN"/>
        </w:rPr>
        <w:t>3.外贸进出口总额：</w:t>
      </w:r>
      <w:r>
        <w:rPr>
          <w:rFonts w:hint="eastAsia" w:ascii="仿宋_GB2312" w:hAnsi="仿宋_GB2312" w:eastAsia="仿宋_GB2312" w:cs="仿宋_GB2312"/>
          <w:sz w:val="32"/>
          <w:szCs w:val="32"/>
          <w:lang w:val="en-US" w:eastAsia="zh-CN"/>
        </w:rPr>
        <w:t>全年</w:t>
      </w:r>
      <w:r>
        <w:rPr>
          <w:rFonts w:hint="eastAsia" w:ascii="仿宋_GB2312" w:hAnsi="仿宋_GB2312" w:eastAsia="仿宋_GB2312" w:cs="仿宋_GB2312"/>
          <w:spacing w:val="0"/>
          <w:position w:val="0"/>
          <w:sz w:val="32"/>
          <w:szCs w:val="32"/>
          <w:lang w:val="en-US" w:eastAsia="zh-CN"/>
        </w:rPr>
        <w:t>实现外贸进出口额70851万元，同比下降46.82%，总量排名全市第6，外贸企业新增备</w:t>
      </w:r>
      <w:r>
        <w:rPr>
          <w:rFonts w:hint="default" w:ascii="仿宋_GB2312" w:hAnsi="仿宋_GB2312" w:eastAsia="仿宋_GB2312" w:cs="仿宋_GB2312"/>
          <w:spacing w:val="0"/>
          <w:position w:val="0"/>
          <w:sz w:val="32"/>
          <w:szCs w:val="32"/>
          <w:lang w:val="en-US" w:eastAsia="zh-CN"/>
        </w:rPr>
        <w:t>案24</w:t>
      </w:r>
      <w:r>
        <w:rPr>
          <w:rFonts w:hint="eastAsia" w:ascii="仿宋_GB2312" w:hAnsi="仿宋_GB2312" w:eastAsia="仿宋_GB2312" w:cs="仿宋_GB2312"/>
          <w:spacing w:val="0"/>
          <w:position w:val="0"/>
          <w:sz w:val="32"/>
          <w:szCs w:val="32"/>
          <w:lang w:val="en-US" w:eastAsia="zh-CN"/>
        </w:rPr>
        <w:t>家，新增破零</w:t>
      </w:r>
      <w:r>
        <w:rPr>
          <w:rFonts w:hint="default" w:ascii="仿宋_GB2312" w:hAnsi="仿宋_GB2312" w:eastAsia="仿宋_GB2312" w:cs="仿宋_GB2312"/>
          <w:spacing w:val="0"/>
          <w:position w:val="0"/>
          <w:sz w:val="32"/>
          <w:szCs w:val="32"/>
          <w:lang w:val="en-US" w:eastAsia="zh-CN"/>
        </w:rPr>
        <w:t>7</w:t>
      </w:r>
      <w:r>
        <w:rPr>
          <w:rFonts w:hint="eastAsia" w:ascii="仿宋_GB2312" w:hAnsi="仿宋_GB2312" w:eastAsia="仿宋_GB2312" w:cs="仿宋_GB2312"/>
          <w:spacing w:val="0"/>
          <w:position w:val="0"/>
          <w:sz w:val="32"/>
          <w:szCs w:val="32"/>
          <w:lang w:val="en-US" w:eastAsia="zh-CN"/>
        </w:rPr>
        <w:t>家。</w:t>
      </w:r>
    </w:p>
    <w:p w14:paraId="283AFC3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仿宋_GB2312" w:hAnsi="仿宋_GB2312" w:eastAsia="仿宋_GB2312" w:cs="仿宋_GB2312"/>
          <w:b w:val="0"/>
          <w:bCs w:val="0"/>
          <w:spacing w:val="0"/>
          <w:position w:val="0"/>
          <w:sz w:val="32"/>
          <w:szCs w:val="32"/>
          <w:lang w:val="en-US" w:eastAsia="zh-CN"/>
        </w:rPr>
      </w:pPr>
      <w:r>
        <w:rPr>
          <w:rFonts w:hint="eastAsia" w:ascii="仿宋_GB2312" w:hAnsi="仿宋_GB2312" w:eastAsia="仿宋_GB2312" w:cs="仿宋_GB2312"/>
          <w:b/>
          <w:bCs/>
          <w:color w:val="000000"/>
          <w:kern w:val="0"/>
          <w:sz w:val="31"/>
          <w:szCs w:val="31"/>
          <w:lang w:val="en-US" w:eastAsia="zh-CN"/>
        </w:rPr>
        <w:t>4.社会消费品零售总额：</w:t>
      </w:r>
      <w:r>
        <w:rPr>
          <w:rFonts w:hint="eastAsia" w:ascii="仿宋_GB2312" w:hAnsi="仿宋_GB2312" w:eastAsia="仿宋_GB2312" w:cs="仿宋_GB2312"/>
          <w:spacing w:val="0"/>
          <w:position w:val="0"/>
          <w:sz w:val="32"/>
          <w:szCs w:val="32"/>
          <w:lang w:val="en-US" w:eastAsia="zh-CN"/>
        </w:rPr>
        <w:t>2022年全区社会消费品零售总额1073000万元，同比增长1.9%，排名全市第9。新增入库限额以上企业2家，限额以上个体工商户3家。</w:t>
      </w:r>
    </w:p>
    <w:p w14:paraId="06BF543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（二）、主要工作开展情况</w:t>
      </w:r>
    </w:p>
    <w:p w14:paraId="04DA8B35">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1、狠抓招商引资，推动“湘商回归”</w:t>
      </w:r>
    </w:p>
    <w:p w14:paraId="799DD4C0">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开展精准招商。我区紧紧围绕“五城三园三中心”产业布局，精心制作了全新的大祥区招商宣传片，成立11个产业发展指挥部，精准考察对接目标投资者，进行全面、精准、务实、高效招商。二是突出重点招商。</w:t>
      </w:r>
      <w:r>
        <w:rPr>
          <w:rFonts w:hint="eastAsia" w:ascii="仿宋_GB2312" w:hAnsi="仿宋_GB2312" w:eastAsia="仿宋_GB2312" w:cs="仿宋_GB2312"/>
          <w:b w:val="0"/>
          <w:bCs w:val="0"/>
          <w:sz w:val="32"/>
          <w:szCs w:val="32"/>
          <w:lang w:val="zh-CN" w:eastAsia="zh-CN"/>
        </w:rPr>
        <w:t>围绕</w:t>
      </w:r>
      <w:r>
        <w:rPr>
          <w:rFonts w:hint="eastAsia" w:ascii="仿宋_GB2312" w:hAnsi="仿宋_GB2312" w:eastAsia="仿宋_GB2312" w:cs="仿宋_GB2312"/>
          <w:b w:val="0"/>
          <w:bCs w:val="0"/>
          <w:sz w:val="32"/>
          <w:szCs w:val="32"/>
          <w:lang w:val="en-US" w:eastAsia="zh-CN"/>
        </w:rPr>
        <w:t>科创、</w:t>
      </w:r>
      <w:r>
        <w:rPr>
          <w:rFonts w:hint="eastAsia" w:ascii="仿宋_GB2312" w:hAnsi="仿宋_GB2312" w:eastAsia="仿宋_GB2312" w:cs="仿宋_GB2312"/>
          <w:b w:val="0"/>
          <w:bCs w:val="0"/>
          <w:sz w:val="32"/>
          <w:szCs w:val="32"/>
          <w:lang w:val="zh-CN" w:eastAsia="zh-CN"/>
        </w:rPr>
        <w:t>农业、生物医药、商贸物流、文教体育、休闲旅游等</w:t>
      </w:r>
      <w:r>
        <w:rPr>
          <w:rFonts w:hint="eastAsia" w:ascii="仿宋_GB2312" w:hAnsi="仿宋_GB2312" w:eastAsia="仿宋_GB2312" w:cs="仿宋_GB2312"/>
          <w:b w:val="0"/>
          <w:bCs w:val="0"/>
          <w:sz w:val="32"/>
          <w:szCs w:val="32"/>
          <w:lang w:val="en-US" w:eastAsia="zh-CN"/>
        </w:rPr>
        <w:t>重点</w:t>
      </w:r>
      <w:r>
        <w:rPr>
          <w:rFonts w:hint="eastAsia" w:ascii="仿宋_GB2312" w:hAnsi="仿宋_GB2312" w:eastAsia="仿宋_GB2312" w:cs="仿宋_GB2312"/>
          <w:b w:val="0"/>
          <w:bCs w:val="0"/>
          <w:sz w:val="32"/>
          <w:szCs w:val="32"/>
          <w:lang w:val="zh-CN" w:eastAsia="zh-CN"/>
        </w:rPr>
        <w:t>产业，深度对接长三角和粤港澳大湾区，有规划、有重点、有针对性的引进“三类500强”企业、专精特新“小巨人”企业、隐形冠军企业和外贸龙头企业</w:t>
      </w:r>
      <w:r>
        <w:rPr>
          <w:rFonts w:hint="eastAsia" w:ascii="仿宋_GB2312" w:hAnsi="仿宋_GB2312" w:eastAsia="仿宋_GB2312" w:cs="仿宋_GB2312"/>
          <w:b w:val="0"/>
          <w:bCs w:val="0"/>
          <w:sz w:val="32"/>
          <w:szCs w:val="32"/>
          <w:lang w:val="en-US" w:eastAsia="zh-CN"/>
        </w:rPr>
        <w:t>等</w:t>
      </w:r>
      <w:r>
        <w:rPr>
          <w:rFonts w:hint="eastAsia" w:ascii="仿宋_GB2312" w:hAnsi="仿宋_GB2312" w:eastAsia="仿宋_GB2312" w:cs="仿宋_GB2312"/>
          <w:b w:val="0"/>
          <w:bCs w:val="0"/>
          <w:sz w:val="32"/>
          <w:szCs w:val="32"/>
          <w:lang w:val="zh-CN" w:eastAsia="zh-CN"/>
        </w:rPr>
        <w:t>。大力发展总部经济，积极承接央企、国企总部转移。提升利用外资质量，支持鼓励外资企业扩大再投资。</w:t>
      </w:r>
      <w:r>
        <w:rPr>
          <w:rFonts w:hint="eastAsia" w:ascii="仿宋_GB2312" w:hAnsi="仿宋_GB2312" w:eastAsia="仿宋_GB2312" w:cs="仿宋_GB2312"/>
          <w:b w:val="0"/>
          <w:bCs w:val="0"/>
          <w:sz w:val="32"/>
          <w:szCs w:val="32"/>
          <w:lang w:val="en-US" w:eastAsia="zh-CN"/>
        </w:rPr>
        <w:t>三是领导带队外出招商。</w:t>
      </w:r>
      <w:r>
        <w:rPr>
          <w:rFonts w:hint="eastAsia" w:ascii="仿宋" w:hAnsi="仿宋" w:eastAsia="仿宋" w:cs="仿宋"/>
          <w:color w:val="auto"/>
          <w:sz w:val="32"/>
          <w:szCs w:val="32"/>
          <w:lang w:val="en-US" w:eastAsia="zh-CN"/>
        </w:rPr>
        <w:t>区级领导多次带</w:t>
      </w:r>
      <w:r>
        <w:rPr>
          <w:rFonts w:hint="eastAsia" w:ascii="仿宋" w:hAnsi="仿宋" w:eastAsia="仿宋" w:cs="仿宋"/>
          <w:color w:val="auto"/>
          <w:sz w:val="32"/>
          <w:szCs w:val="32"/>
          <w:lang w:eastAsia="zh-CN"/>
        </w:rPr>
        <w:t>队赴</w:t>
      </w:r>
      <w:r>
        <w:rPr>
          <w:rFonts w:hint="eastAsia" w:ascii="仿宋" w:hAnsi="仿宋" w:eastAsia="仿宋" w:cs="仿宋"/>
          <w:color w:val="auto"/>
          <w:sz w:val="32"/>
          <w:szCs w:val="32"/>
          <w:lang w:val="en-US" w:eastAsia="zh-CN"/>
        </w:rPr>
        <w:t>北京、深圳、杭州、长沙等地</w:t>
      </w:r>
      <w:r>
        <w:rPr>
          <w:rFonts w:hint="eastAsia" w:ascii="仿宋" w:hAnsi="仿宋" w:eastAsia="仿宋" w:cs="仿宋"/>
          <w:color w:val="auto"/>
          <w:sz w:val="32"/>
          <w:szCs w:val="32"/>
          <w:lang w:eastAsia="zh-CN"/>
        </w:rPr>
        <w:t>招商考察，</w:t>
      </w:r>
      <w:r>
        <w:rPr>
          <w:rFonts w:hint="eastAsia" w:ascii="仿宋" w:hAnsi="仿宋" w:eastAsia="仿宋" w:cs="仿宋"/>
          <w:color w:val="auto"/>
          <w:sz w:val="32"/>
          <w:szCs w:val="32"/>
          <w:lang w:val="en-US" w:eastAsia="zh-CN"/>
        </w:rPr>
        <w:t>积极对接</w:t>
      </w:r>
      <w:r>
        <w:rPr>
          <w:rFonts w:hint="eastAsia" w:ascii="仿宋" w:hAnsi="仿宋" w:eastAsia="仿宋" w:cs="仿宋"/>
          <w:bCs/>
          <w:color w:val="auto"/>
          <w:kern w:val="0"/>
          <w:sz w:val="32"/>
          <w:szCs w:val="32"/>
          <w:lang w:val="en-US" w:eastAsia="zh-CN"/>
        </w:rPr>
        <w:t>企业和项目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四是</w:t>
      </w:r>
      <w:r>
        <w:rPr>
          <w:rFonts w:hint="eastAsia" w:ascii="仿宋_GB2312" w:hAnsi="仿宋_GB2312" w:eastAsia="仿宋_GB2312" w:cs="仿宋_GB2312"/>
          <w:color w:val="auto"/>
          <w:sz w:val="32"/>
          <w:szCs w:val="32"/>
          <w:lang w:val="en-US" w:eastAsia="zh-CN"/>
        </w:rPr>
        <w:t>加大推进湘商回归工作力度，制定出台了《大祥区园区招商引资优惠政策》，认真宣传贯彻市委市政府《迎老乡回家乡创业发展的若干支持意见》，切实为来大祥区投资的湘商企业提供优质政策保障，建立完善区领导联企业工作机制，对投资的湘商企业给予全力支持。</w:t>
      </w:r>
    </w:p>
    <w:p w14:paraId="4E05F7CD">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10月底，我区对接企业（客商）136批次，已签约落地“深圳市优必选科技股份有限公司”、“中科纳米产业集团”、“湖南省威武宸美科技有限公司”、“邵阳野生动物园”、“钢结构装配式绿色建筑智能制造产业基地项目”等湘商企业投资项目9个，意向总投资达50.1亿元。</w:t>
      </w:r>
    </w:p>
    <w:p w14:paraId="5A5265B9">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2、拓展发展空间，促外经贸稳步发展</w:t>
      </w:r>
    </w:p>
    <w:p w14:paraId="1514738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spacing w:val="0"/>
          <w:position w:val="0"/>
          <w:sz w:val="32"/>
          <w:szCs w:val="32"/>
          <w:lang w:val="en-US" w:eastAsia="zh-CN"/>
        </w:rPr>
        <w:t>认真贯彻落实《湖南省人民政府办公厅关于推进外贸高质量发展的实施意见》，推动各项惠企政策落地，各项资金及时落实到企业，助力企业破解困局。二是</w:t>
      </w:r>
      <w:r>
        <w:rPr>
          <w:rFonts w:hint="eastAsia" w:ascii="仿宋_GB2312" w:hAnsi="仿宋_GB2312" w:eastAsia="仿宋_GB2312" w:cs="仿宋_GB2312"/>
          <w:b w:val="0"/>
          <w:bCs w:val="0"/>
          <w:sz w:val="32"/>
          <w:szCs w:val="32"/>
          <w:lang w:val="en-US" w:eastAsia="zh-CN"/>
        </w:rPr>
        <w:t>继续保持稳外贸工作机制，加强对辖区外贸企业的协调服务，对重点产业、重点企业实行一对一帮扶，分类施策、逐一解决。三是从培育龙头、促业绩回流、拓展内销市场等方面全面发力，全力做好有出口意向企业、适销对路产品的指导服务工作，最大限度地挖掘企业进出口潜力。四是大力发展跨境电子商务，引进跨境电商综合服务企业。</w:t>
      </w:r>
      <w:r>
        <w:rPr>
          <w:rFonts w:hint="eastAsia" w:ascii="仿宋_GB2312" w:hAnsi="仿宋_GB2312" w:eastAsia="仿宋_GB2312" w:cs="仿宋_GB2312"/>
          <w:sz w:val="32"/>
          <w:szCs w:val="32"/>
          <w:lang w:val="en-US" w:eastAsia="zh-CN"/>
        </w:rPr>
        <w:t>五是组织企业参加首届湖南-东盟投资贸易洽谈会暨第五届东盟·湖南（邵阳）名优产品交易会，取得了较好的效果。</w:t>
      </w:r>
    </w:p>
    <w:p w14:paraId="2CE97F8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3、围绕促消费目标，</w:t>
      </w:r>
      <w:r>
        <w:rPr>
          <w:rFonts w:hint="eastAsia" w:ascii="楷体" w:hAnsi="楷体" w:eastAsia="楷体" w:cs="楷体"/>
          <w:b/>
          <w:bCs/>
          <w:sz w:val="32"/>
          <w:szCs w:val="32"/>
          <w:lang w:val="en-US" w:eastAsia="zh-CN"/>
        </w:rPr>
        <w:t>推动商贸健康发展</w:t>
      </w:r>
      <w:r>
        <w:rPr>
          <w:rFonts w:hint="eastAsia" w:ascii="楷体" w:hAnsi="楷体" w:eastAsia="楷体" w:cs="楷体"/>
          <w:b/>
          <w:bCs/>
          <w:sz w:val="32"/>
          <w:szCs w:val="32"/>
        </w:rPr>
        <w:t>。</w:t>
      </w:r>
    </w:p>
    <w:p w14:paraId="7CBA8C2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全面促进消费升级。提质扩容服务消费，推动生活服务业向高品质和多样化升级。发展绿色、安全、健康餐饮消费，推进光盘行动和无接触配送。鼓励企业发展线上消费业务，进一步拓展网络消费领域，加快推进电子商务发展，建立线上服务、线下体验与现代物流紧密结合的网络消费新模式。鼓励发展在线教育、在线医疗、在线文娱、智慧旅游、智能体育等消费新业态，推动线上线下消费双向提速。二是完善现代商贸流通体系。培育壮大限上企业队伍，培育一批竞争力强的现代流通企业。推动老字号传承创新和提质升级。培育数字商务企业，支持本土新兴电商龙头企业做大做强。持续推进农商互联和电商进农村示范工作，大力发展农产品冷链物流，着力降低农村物流成本。推进农村电商与乡村振兴有效衔接。</w:t>
      </w:r>
    </w:p>
    <w:p w14:paraId="2886F5E5">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4、强化行业监管，提升行业管理水平</w:t>
      </w:r>
    </w:p>
    <w:p w14:paraId="0956D52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lang w:val="en-US" w:eastAsia="zh-CN"/>
        </w:rPr>
      </w:pPr>
      <w:r>
        <w:rPr>
          <w:rFonts w:hint="eastAsia" w:ascii="仿宋_GB2312" w:hAnsi="仿宋_GB2312" w:eastAsia="仿宋_GB2312" w:cs="仿宋_GB2312"/>
          <w:sz w:val="32"/>
          <w:szCs w:val="32"/>
          <w:lang w:val="en-US" w:eastAsia="zh-CN"/>
        </w:rPr>
        <w:t>一是加大行业安全生产监管力度。强化对辖区大型商场超市、标准化农贸市场、加油站等重点场所的日常安全监管，扎实开展专项整治行动，定期全面排查隐患，督促重点整改，确保商务领域安全生产形势稳定。今年以来,我局按照“党政同责、一岗双责、齐抓共管、失职追责”和“三个必须”要求，明确班子成员安全生产工作责任，班子成员每个月带队两次检查商务行业领域安全生产、消防工作，督促企业落实安全主体责任，并组织全体干部分组到辖区企业开展行业安全生产、消防安全隐患地毯式大排查，排查安全隐患117处，要求立即整改92处，限期整改25处。二是联合开展成品油市场打非治违百日行动。定期对成品油经营企业规范经营情况进行检查，对成品油零售经营企业开展年度审查，配合其他部门开展联合执法行动和督促加油站点推广应用加油站数据信息实时采集系统等。今年，查处成品油非法储存及运输1起,有效遏制安全事故苗头。三是深入开展房屋安全隐患专项整治。组织对全区商务行业领域的经营用房进行全面安全隐患大排查，对排查出属于商务行业的隐患房屋按照“一房一档”“一房一策”的原则，配合相关部门，督促限期整改，逐一销号清零，做到闭环管理。</w:t>
      </w:r>
    </w:p>
    <w:p w14:paraId="3BDF5D0D">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5、强化自身建设，打造过硬干部队伍</w:t>
      </w:r>
    </w:p>
    <w:p w14:paraId="5AA35171">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一是落实意识形态工作责任，深化理论武装，组织深入学习贯彻党的二十大精神</w:t>
      </w:r>
      <w:bookmarkStart w:id="0" w:name="_GoBack"/>
      <w:bookmarkEnd w:id="0"/>
      <w:r>
        <w:rPr>
          <w:rFonts w:hint="eastAsia" w:ascii="仿宋_GB2312" w:hAnsi="仿宋_GB2312" w:eastAsia="仿宋_GB2312" w:cs="仿宋_GB2312"/>
          <w:b/>
          <w:bCs/>
          <w:kern w:val="2"/>
          <w:sz w:val="32"/>
          <w:szCs w:val="32"/>
          <w:lang w:val="en-US" w:eastAsia="zh-CN" w:bidi="ar-SA"/>
        </w:rPr>
        <w:t>。</w:t>
      </w:r>
      <w:r>
        <w:rPr>
          <w:rFonts w:ascii="仿宋" w:hAnsi="仿宋" w:eastAsia="仿宋" w:cs="仿宋"/>
          <w:i w:val="0"/>
          <w:iCs w:val="0"/>
          <w:caps w:val="0"/>
          <w:color w:val="000000"/>
          <w:spacing w:val="0"/>
          <w:sz w:val="31"/>
          <w:szCs w:val="31"/>
          <w:shd w:val="clear" w:color="auto" w:fill="FFFFFF"/>
        </w:rPr>
        <w:t>坚持党管意识形态原则，认真落实意识形态和网络意识形态工作责任制。积极开展社会主义核心价值观、公民道德规范、优秀传统美德等意识形态宣传，强化意识形态风险监测预警和分析研判</w:t>
      </w:r>
      <w:r>
        <w:rPr>
          <w:rFonts w:hint="eastAsia" w:ascii="仿宋" w:hAnsi="仿宋" w:eastAsia="仿宋" w:cs="仿宋"/>
          <w:i w:val="0"/>
          <w:iCs w:val="0"/>
          <w:caps w:val="0"/>
          <w:color w:val="000000"/>
          <w:spacing w:val="0"/>
          <w:sz w:val="31"/>
          <w:szCs w:val="31"/>
          <w:shd w:val="clear" w:color="auto" w:fill="FFFFFF"/>
          <w:lang w:eastAsia="zh-CN"/>
        </w:rPr>
        <w:t>。</w:t>
      </w:r>
      <w:r>
        <w:rPr>
          <w:rFonts w:hint="eastAsia" w:ascii="仿宋_GB2312" w:hAnsi="仿宋_GB2312" w:eastAsia="仿宋_GB2312" w:cs="仿宋_GB2312"/>
          <w:kern w:val="2"/>
          <w:sz w:val="32"/>
          <w:szCs w:val="32"/>
          <w:lang w:val="en-US" w:eastAsia="zh-CN" w:bidi="ar-SA"/>
        </w:rPr>
        <w:t>加强学习教育，按时开展党组理论中心组学习和党支部“三会一课”，组织党员干部认真开展政治理论学习。在党的二十大召开以后，全局把学习宣传贯彻党的二十大精神作为首要政治任务，精心组织，周密部署，坚持学原文、读原著、悟原理，深入领会党的二十大精神的核心要义和精神实质，用党的二十大精神武装头脑、指导实践、推动发展。激励全局党员干部不断探索创新商务工作方法，深入分析问题与不足，科学研判机遇与挑战，全面发挥商务工作在扩大高质量开放和构建新发展格局中的重要作用，推动党的二十大作出的战略部署在我区商务领域落地生根。</w:t>
      </w:r>
    </w:p>
    <w:p w14:paraId="47877089">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二是扎实开展廉政教育，推进清廉单位建设。</w:t>
      </w:r>
      <w:r>
        <w:rPr>
          <w:rFonts w:hint="eastAsia" w:ascii="仿宋_GB2312" w:hAnsi="仿宋_GB2312" w:eastAsia="仿宋_GB2312" w:cs="仿宋_GB2312"/>
          <w:kern w:val="2"/>
          <w:sz w:val="32"/>
          <w:szCs w:val="32"/>
          <w:lang w:val="en-US" w:eastAsia="zh-CN" w:bidi="ar-SA"/>
        </w:rPr>
        <w:t>多种形式开展廉政宣传，比如打造机关廉政文化长廊、通过工作微信群推送廉政信息等,形成清廉文化处处可见;积极开展清廉家庭建设,把清廉文化拓展到家庭,落实在身边人身边事；持续深入开展廉政教育活动,组织机关党员干部集中观看警示教育片、通报典型案例,并开展学廉、思廉、倡廉教育研讨活动,促进党员干部学思践悟,守牢清廉底线；定期开展谈心谈话,了解党员干部思想生活动态,对存在的苗头性、倾向性问题及时约谈提醒、督促整改。通过持续深入开展清廉建设，认真落实党风廉政建设、清廉机关建设等规定要求,促进党员干部在思想上自觉坚守廉洁自律底线。</w:t>
      </w:r>
    </w:p>
    <w:p w14:paraId="71CE00BC">
      <w:pPr>
        <w:pStyle w:val="2"/>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三是坚持从严治党，切实改进干部作风。</w:t>
      </w:r>
      <w:r>
        <w:rPr>
          <w:rFonts w:hint="eastAsia" w:ascii="仿宋_GB2312" w:hAnsi="仿宋_GB2312" w:eastAsia="仿宋_GB2312" w:cs="仿宋_GB2312"/>
          <w:kern w:val="2"/>
          <w:sz w:val="32"/>
          <w:szCs w:val="32"/>
          <w:lang w:val="en-US" w:eastAsia="zh-CN" w:bidi="ar-SA"/>
        </w:rPr>
        <w:t>坚持把学习党章党规党纪作为党员干部必修课，定期组织学习《中国共产党章程》《中国共产党廉洁自律准则》《中国共产党纪律处分条例》《中国共产党问责条例》等党规党纪，内化于心、外化于行，时刻绷紧纪律规矩这根弦，带头遵守党规党纪，营造风清气正的政治生态。</w:t>
      </w:r>
    </w:p>
    <w:p w14:paraId="0A1BFE7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仿宋_GB2312" w:hAnsi="仿宋_GB2312" w:eastAsia="仿宋_GB2312" w:cs="仿宋_GB2312"/>
          <w:color w:val="auto"/>
          <w:spacing w:val="0"/>
          <w:position w:val="0"/>
          <w:sz w:val="32"/>
          <w:szCs w:val="32"/>
          <w:lang w:val="en-US" w:eastAsia="zh-CN"/>
        </w:rPr>
      </w:pPr>
      <w:r>
        <w:rPr>
          <w:rFonts w:hint="eastAsia" w:ascii="仿宋_GB2312" w:hAnsi="仿宋_GB2312" w:eastAsia="仿宋_GB2312" w:cs="仿宋_GB2312"/>
          <w:b/>
          <w:bCs/>
          <w:color w:val="auto"/>
          <w:spacing w:val="0"/>
          <w:position w:val="0"/>
          <w:sz w:val="32"/>
          <w:szCs w:val="32"/>
          <w:lang w:val="en-US" w:eastAsia="zh-CN"/>
        </w:rPr>
        <w:t>四是落实普法责任，积极推进法治政府建设。</w:t>
      </w:r>
      <w:r>
        <w:rPr>
          <w:rFonts w:hint="eastAsia" w:ascii="仿宋_GB2312" w:hAnsi="仿宋_GB2312" w:eastAsia="仿宋_GB2312" w:cs="仿宋_GB2312"/>
          <w:color w:val="auto"/>
          <w:spacing w:val="0"/>
          <w:position w:val="0"/>
          <w:sz w:val="32"/>
          <w:szCs w:val="32"/>
          <w:lang w:val="en-US" w:eastAsia="zh-CN"/>
        </w:rPr>
        <w:t>把法治建设工作列入了重要议事日程,纳入目标管理,采取灵活多样的方式推动法治建设工作,一是做好干部法治教育工作。组织商务系统干部职工积极开展学法活动，参加2022年度的国家工作人员普法考试，我局在职干部完成率和合格率均达到100%。二是加强商务行业领域的法治宣传。按照“谁执法谁普法”的责任要求，多种形式开展法治宣传，全面营造依法治商的良好氛围。三是积极推进政务公开。应公开、尽公开，做到行政权力运行阳光透明。</w:t>
      </w:r>
    </w:p>
    <w:p w14:paraId="4667FB76">
      <w:pPr>
        <w:pStyle w:val="2"/>
        <w:keepNext w:val="0"/>
        <w:keepLines w:val="0"/>
        <w:pageBreakBefore w:val="0"/>
        <w:widowControl w:val="0"/>
        <w:kinsoku/>
        <w:wordWrap/>
        <w:overflowPunct/>
        <w:topLinePunct w:val="0"/>
        <w:autoSpaceDE/>
        <w:autoSpaceDN/>
        <w:bidi w:val="0"/>
        <w:spacing w:line="600" w:lineRule="exact"/>
        <w:textAlignment w:val="auto"/>
        <w:rPr>
          <w:rFonts w:hint="default"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6、统筹做好各项中心工作</w:t>
      </w:r>
    </w:p>
    <w:p w14:paraId="61D0BA7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仿宋_GB2312" w:hAnsi="仿宋_GB2312" w:eastAsia="仿宋_GB2312" w:cs="仿宋_GB2312"/>
          <w:spacing w:val="0"/>
          <w:position w:val="0"/>
          <w:sz w:val="32"/>
          <w:szCs w:val="32"/>
          <w:lang w:val="en-US" w:eastAsia="zh-CN"/>
        </w:rPr>
      </w:pPr>
      <w:r>
        <w:rPr>
          <w:rFonts w:hint="eastAsia" w:ascii="仿宋_GB2312" w:hAnsi="仿宋_GB2312" w:eastAsia="仿宋_GB2312" w:cs="仿宋_GB2312"/>
          <w:spacing w:val="0"/>
          <w:position w:val="0"/>
          <w:sz w:val="32"/>
          <w:szCs w:val="32"/>
          <w:lang w:val="en-US" w:eastAsia="zh-CN"/>
        </w:rPr>
        <w:t>强化党建引领，通过不断加强干部队伍建设，提升党员干部服务中心各项能力，组织党员干部到一线做调研，到基层搞服务，全面做好商务行业领域文明创建、疫情防控、平安建设、乡村振兴等中心工作。指导辖区标准化农贸市场开展文明创建，督促做好常态化疫情防控工作。在疫情管控期间较好地完成了生活物资保供工作，保障了辖区疫情期间生活物资供应。组织干部结对帮扶，走村入户，做好乡村振兴工作，到联点社区开展干部大走访活动等。</w:t>
      </w:r>
    </w:p>
    <w:p w14:paraId="286B2D7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eastAsia" w:ascii="仿宋_GB2312" w:hAnsi="仿宋_GB2312" w:eastAsia="仿宋_GB2312" w:cs="仿宋_GB2312"/>
          <w:spacing w:val="0"/>
          <w:position w:val="0"/>
          <w:sz w:val="32"/>
          <w:szCs w:val="32"/>
          <w:lang w:val="en-US" w:eastAsia="zh-CN"/>
        </w:rPr>
      </w:pPr>
    </w:p>
    <w:p w14:paraId="0453FE57">
      <w:pPr>
        <w:pStyle w:val="6"/>
        <w:widowControl/>
        <w:shd w:val="clear" w:color="auto" w:fill="FFFFFF"/>
        <w:spacing w:beforeAutospacing="0" w:after="150" w:afterAutospacing="0" w:line="450" w:lineRule="atLeast"/>
        <w:ind w:firstLine="643" w:firstLineChars="200"/>
        <w:rPr>
          <w:rFonts w:ascii="黑体" w:hAnsi="黑体" w:eastAsia="黑体" w:cs="黑体"/>
          <w:b/>
          <w:bCs/>
          <w:color w:val="555555"/>
          <w:sz w:val="32"/>
          <w:szCs w:val="32"/>
        </w:rPr>
      </w:pPr>
      <w:r>
        <w:rPr>
          <w:rFonts w:hint="eastAsia" w:ascii="黑体" w:hAnsi="黑体" w:eastAsia="黑体" w:cs="黑体"/>
          <w:b/>
          <w:bCs/>
          <w:color w:val="555555"/>
          <w:sz w:val="32"/>
          <w:szCs w:val="32"/>
          <w:shd w:val="clear" w:color="auto" w:fill="FFFFFF"/>
        </w:rPr>
        <w:t>五、评价结论及建议</w:t>
      </w:r>
    </w:p>
    <w:p w14:paraId="12A49740">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仿宋_GB2312" w:hAnsi="仿宋_GB2312" w:eastAsia="仿宋_GB2312" w:cs="仿宋_GB2312"/>
          <w:color w:val="555555"/>
          <w:sz w:val="32"/>
          <w:szCs w:val="32"/>
          <w:shd w:val="clear" w:color="auto" w:fill="FFFFFF"/>
        </w:rPr>
        <w:t>　　</w:t>
      </w:r>
      <w:r>
        <w:rPr>
          <w:rFonts w:hint="eastAsia" w:asciiTheme="minorEastAsia" w:hAnsiTheme="minorEastAsia" w:eastAsiaTheme="minorEastAsia" w:cstheme="minorEastAsia"/>
          <w:sz w:val="32"/>
          <w:szCs w:val="32"/>
          <w:shd w:val="clear" w:color="auto" w:fill="FFFFFF"/>
        </w:rPr>
        <w:t>（一）评价结论</w:t>
      </w:r>
    </w:p>
    <w:p w14:paraId="40BE2CE2">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综上所述，我单位在预算编制、预算执行、支出绩效方面，严格按照规定执行，合理安排支出，使财政资金发挥最大使用效益。</w:t>
      </w:r>
    </w:p>
    <w:p w14:paraId="1CA897EC">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（二）存在问题</w:t>
      </w:r>
    </w:p>
    <w:p w14:paraId="2D9E17A2">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预算管理和财务管理有待加强，经费核算需进一步完善。在核算过程中部分支出难以区分支出范围，资金使用存在界限不清的现象。</w:t>
      </w:r>
    </w:p>
    <w:p w14:paraId="3ECB0FC7">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（三）改进建议</w:t>
      </w:r>
    </w:p>
    <w:p w14:paraId="687AB469">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1、细化预算编制工作，认真做好年初预算编制。进一步加强单位内部各股室的预算管理意识，严格按照预算编制的相关要求进行编制。</w:t>
      </w:r>
    </w:p>
    <w:p w14:paraId="1BB9EA14">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2、加强财务管理，严格财务审核。加强单位财务管理，健全单位财务管理制度体系，规范单位财务行为。在费用报销时，按照预算规定的项目和用途进行资金使用审核、支付及财务核算，预防超支现象的发生。</w:t>
      </w:r>
    </w:p>
    <w:p w14:paraId="3EF2287F">
      <w:pPr>
        <w:pStyle w:val="6"/>
        <w:widowControl/>
        <w:shd w:val="clear" w:color="auto" w:fill="FFFFFF"/>
        <w:spacing w:beforeAutospacing="0" w:after="150" w:afterAutospacing="0" w:line="450" w:lineRule="atLeas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shd w:val="clear" w:color="auto" w:fill="FFFFFF"/>
        </w:rPr>
        <w:t>　　3、加强对相关人员培训，特别是针对《预算法》、《政府会计制度》等方面学习培训，规范部门预算收支核算，切实提高部门预算收支管理水平。</w:t>
      </w:r>
    </w:p>
    <w:p w14:paraId="3CDD5648">
      <w:pPr>
        <w:pStyle w:val="13"/>
        <w:spacing w:line="600" w:lineRule="exact"/>
        <w:ind w:left="840" w:leftChars="400"/>
        <w:rPr>
          <w:rFonts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　　</w:t>
      </w:r>
    </w:p>
    <w:p w14:paraId="7D7A66D0">
      <w:pPr>
        <w:rPr>
          <w:rFonts w:asciiTheme="minorEastAsia" w:hAnsiTheme="minorEastAsia" w:eastAsiaTheme="minorEastAsia" w:cstheme="minorEastAsia"/>
          <w:sz w:val="32"/>
          <w:szCs w:val="32"/>
        </w:rPr>
      </w:pPr>
    </w:p>
    <w:p w14:paraId="3E98485F">
      <w:pPr>
        <w:pStyle w:val="13"/>
        <w:ind w:firstLine="640" w:firstLineChars="200"/>
        <w:rPr>
          <w:rFonts w:asciiTheme="minorEastAsia" w:hAnsiTheme="minorEastAsia" w:eastAsiaTheme="minorEastAsia" w:cstheme="minorEastAsia"/>
          <w:color w:val="auto"/>
          <w:sz w:val="32"/>
          <w:szCs w:val="32"/>
        </w:rPr>
      </w:pPr>
    </w:p>
    <w:p w14:paraId="4A16FD28">
      <w:pPr>
        <w:pStyle w:val="13"/>
        <w:ind w:firstLine="640" w:firstLineChars="200"/>
        <w:rPr>
          <w:rFonts w:asciiTheme="minorEastAsia" w:hAnsiTheme="minorEastAsia" w:eastAsiaTheme="minorEastAsia" w:cstheme="minorEastAsia"/>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000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ODQ1OTk2NGFhMWY1NWFlZTIzZWYxY2VmZjM5NzEifQ=="/>
  </w:docVars>
  <w:rsids>
    <w:rsidRoot w:val="6DD74F2C"/>
    <w:rsid w:val="00257D0B"/>
    <w:rsid w:val="003E2408"/>
    <w:rsid w:val="00865D58"/>
    <w:rsid w:val="049B1DAB"/>
    <w:rsid w:val="073B7770"/>
    <w:rsid w:val="07B264E8"/>
    <w:rsid w:val="0987718C"/>
    <w:rsid w:val="0D074F65"/>
    <w:rsid w:val="0E8317EF"/>
    <w:rsid w:val="0F535A31"/>
    <w:rsid w:val="0FE534E0"/>
    <w:rsid w:val="15361BB8"/>
    <w:rsid w:val="155F4AA1"/>
    <w:rsid w:val="18462ABE"/>
    <w:rsid w:val="185004E9"/>
    <w:rsid w:val="18A904EC"/>
    <w:rsid w:val="18B34D43"/>
    <w:rsid w:val="18D63FDF"/>
    <w:rsid w:val="197B5CE1"/>
    <w:rsid w:val="1D027955"/>
    <w:rsid w:val="2058711C"/>
    <w:rsid w:val="220F01D5"/>
    <w:rsid w:val="227D69A7"/>
    <w:rsid w:val="23FE56F3"/>
    <w:rsid w:val="2629139A"/>
    <w:rsid w:val="2C630126"/>
    <w:rsid w:val="2DD106FE"/>
    <w:rsid w:val="2EB841E3"/>
    <w:rsid w:val="321E264C"/>
    <w:rsid w:val="33E067D2"/>
    <w:rsid w:val="39992CD2"/>
    <w:rsid w:val="3D8D2D62"/>
    <w:rsid w:val="421E713B"/>
    <w:rsid w:val="44034FA5"/>
    <w:rsid w:val="4D970A96"/>
    <w:rsid w:val="4FB57455"/>
    <w:rsid w:val="51FB4BE0"/>
    <w:rsid w:val="52600143"/>
    <w:rsid w:val="56CF6441"/>
    <w:rsid w:val="573A4748"/>
    <w:rsid w:val="58D816A4"/>
    <w:rsid w:val="5A765FA5"/>
    <w:rsid w:val="5B1F051B"/>
    <w:rsid w:val="5C985DE2"/>
    <w:rsid w:val="5E9D018F"/>
    <w:rsid w:val="61C934F9"/>
    <w:rsid w:val="666D7A6C"/>
    <w:rsid w:val="667843FE"/>
    <w:rsid w:val="669319E0"/>
    <w:rsid w:val="6DD74F2C"/>
    <w:rsid w:val="70806DD1"/>
    <w:rsid w:val="71271E48"/>
    <w:rsid w:val="74CC2343"/>
    <w:rsid w:val="75EC545C"/>
    <w:rsid w:val="761847AF"/>
    <w:rsid w:val="76C05E5D"/>
    <w:rsid w:val="77EC156E"/>
    <w:rsid w:val="78B917D2"/>
    <w:rsid w:val="7AA51542"/>
    <w:rsid w:val="7C58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eastAsia="宋体"/>
    </w:rPr>
  </w:style>
  <w:style w:type="paragraph" w:styleId="3">
    <w:name w:val="Body Text Indent"/>
    <w:basedOn w:val="1"/>
    <w:next w:val="1"/>
    <w:qFormat/>
    <w:uiPriority w:val="0"/>
    <w:pPr>
      <w:adjustRightInd w:val="0"/>
      <w:snapToGrid w:val="0"/>
      <w:spacing w:line="660" w:lineRule="exact"/>
      <w:ind w:firstLine="645"/>
    </w:pPr>
    <w:rPr>
      <w:rFonts w:ascii="仿宋_GB2312" w:hAnsi="Calibri" w:eastAsia="仿宋_GB2312"/>
      <w:kern w:val="0"/>
      <w:sz w:val="32"/>
    </w:rPr>
  </w:style>
  <w:style w:type="paragraph" w:styleId="5">
    <w:name w:val="Body Text"/>
    <w:basedOn w:val="1"/>
    <w:qFormat/>
    <w:uiPriority w:val="0"/>
    <w:rPr>
      <w:sz w:val="24"/>
    </w:rPr>
  </w:style>
  <w:style w:type="paragraph" w:styleId="6">
    <w:name w:val="Normal (Web)"/>
    <w:basedOn w:val="1"/>
    <w:qFormat/>
    <w:uiPriority w:val="0"/>
    <w:pPr>
      <w:spacing w:beforeAutospacing="1" w:afterAutospacing="1"/>
      <w:jc w:val="left"/>
    </w:pPr>
    <w:rPr>
      <w:kern w:val="0"/>
      <w:sz w:val="24"/>
    </w:rPr>
  </w:style>
  <w:style w:type="paragraph" w:styleId="7">
    <w:name w:val="Body Text First Indent"/>
    <w:basedOn w:val="5"/>
    <w:qFormat/>
    <w:uiPriority w:val="0"/>
    <w:pPr>
      <w:ind w:firstLine="100" w:firstLineChars="100"/>
    </w:pPr>
  </w:style>
  <w:style w:type="paragraph" w:customStyle="1" w:styleId="10">
    <w:name w:val="BodyText1I2"/>
    <w:basedOn w:val="11"/>
    <w:qFormat/>
    <w:uiPriority w:val="0"/>
    <w:pPr>
      <w:snapToGrid w:val="0"/>
      <w:spacing w:after="0" w:line="660" w:lineRule="exact"/>
      <w:ind w:left="0" w:leftChars="0" w:firstLine="420" w:firstLineChars="200"/>
    </w:pPr>
    <w:rPr>
      <w:rFonts w:ascii="仿宋_GB2312" w:eastAsia="仿宋_GB2312"/>
      <w:kern w:val="0"/>
      <w:sz w:val="32"/>
    </w:rPr>
  </w:style>
  <w:style w:type="paragraph" w:customStyle="1" w:styleId="11">
    <w:name w:val="BodyTextIndent"/>
    <w:basedOn w:val="1"/>
    <w:qFormat/>
    <w:uiPriority w:val="0"/>
    <w:pPr>
      <w:spacing w:after="120"/>
      <w:ind w:left="420" w:leftChars="200"/>
      <w:textAlignment w:val="baseline"/>
    </w:pPr>
  </w:style>
  <w:style w:type="paragraph" w:customStyle="1" w:styleId="12">
    <w:name w:val="正文-公1"/>
    <w:basedOn w:val="1"/>
    <w:qFormat/>
    <w:uiPriority w:val="0"/>
    <w:pPr>
      <w:ind w:firstLine="200" w:firstLineChars="200"/>
    </w:pPr>
    <w:rPr>
      <w:color w:val="000000"/>
      <w:szCs w:val="20"/>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4">
    <w:name w:val="List Paragraph"/>
    <w:basedOn w:val="1"/>
    <w:qFormat/>
    <w:uiPriority w:val="34"/>
    <w:pPr>
      <w:ind w:firstLine="420" w:firstLineChars="200"/>
    </w:pPr>
    <w:rPr>
      <w:rFonts w:ascii="Calibri" w:hAnsi="Calibri"/>
      <w:szCs w:val="22"/>
    </w:rPr>
  </w:style>
  <w:style w:type="character" w:customStyle="1" w:styleId="1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5712</Words>
  <Characters>5852</Characters>
  <Lines>1</Lines>
  <Paragraphs>5</Paragraphs>
  <TotalTime>3</TotalTime>
  <ScaleCrop>false</ScaleCrop>
  <LinksUpToDate>false</LinksUpToDate>
  <CharactersWithSpaces>5870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2021-09-08T09:23:00Z</dcterms:created>
  <dc:creator>舍  得</dc:creator>
  <cp:lastModifiedBy>爱之深163</cp:lastModifiedBy>
  <dcterms:modified xsi:type="dcterms:W3CDTF">2025-03-28T03:19:29Z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0925A43AD40B43849D5EE92A8DAB6380_13</vt:lpwstr>
  </property>
  <property fmtid="{D5CDD505-2E9C-101B-9397-08002B2CF9AE}" pid="4" name="KSOTemplateDocerSaveRecord">
    <vt:lpwstr>eyJoZGlkIjoiZjkxZjhlYjliYWYxZWE3MzE2ZmIxMjAzZTk2NTg0MmEiLCJ1c2VySWQiOiIyMzgzMzkzMjMifQ==</vt:lpwstr>
  </property>
</Properties>
</file>