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500"/>
        <w:jc w:val="left"/>
        <w:rPr>
          <w:rFonts w:hint="eastAsia" w:ascii="黑体" w:hAnsi="黑体" w:eastAsia="黑体" w:cs="黑体"/>
          <w:color w:val="000000"/>
          <w:kern w:val="0"/>
          <w:sz w:val="32"/>
          <w:szCs w:val="32"/>
          <w:lang w:eastAsia="zh-CN"/>
        </w:rPr>
      </w:pPr>
      <w:r>
        <w:rPr>
          <w:rFonts w:hint="eastAsia" w:ascii="黑体" w:hAnsi="黑体" w:eastAsia="黑体"/>
          <w:kern w:val="0"/>
          <w:sz w:val="32"/>
          <w:szCs w:val="32"/>
          <w:lang w:val="en-US" w:eastAsia="zh-CN"/>
        </w:rPr>
        <w:t>2020</w:t>
      </w:r>
      <w:r>
        <w:rPr>
          <w:rFonts w:hint="eastAsia" w:ascii="黑体" w:hAnsi="黑体" w:eastAsia="黑体" w:cs="黑体"/>
          <w:color w:val="000000"/>
          <w:kern w:val="0"/>
          <w:sz w:val="32"/>
          <w:szCs w:val="32"/>
        </w:rPr>
        <w:t>年度</w:t>
      </w:r>
      <w:r>
        <w:rPr>
          <w:rFonts w:hint="eastAsia" w:ascii="黑体" w:hAnsi="黑体" w:eastAsia="黑体" w:cs="黑体"/>
          <w:color w:val="000000"/>
          <w:kern w:val="0"/>
          <w:sz w:val="32"/>
          <w:szCs w:val="32"/>
          <w:lang w:eastAsia="zh-CN"/>
        </w:rPr>
        <w:t>邵阳市大祥区市场监督管理局</w:t>
      </w:r>
    </w:p>
    <w:p>
      <w:pPr>
        <w:ind w:firstLine="2240" w:firstLineChars="700"/>
        <w:jc w:val="left"/>
        <w:rPr>
          <w:rFonts w:hint="eastAsia" w:ascii="黑体" w:hAnsi="黑体" w:eastAsia="黑体" w:cs="黑体"/>
          <w:color w:val="000000"/>
          <w:kern w:val="0"/>
          <w:sz w:val="32"/>
          <w:szCs w:val="32"/>
        </w:rPr>
      </w:pPr>
      <w:bookmarkStart w:id="4" w:name="_GoBack"/>
      <w:bookmarkEnd w:id="4"/>
      <w:r>
        <w:rPr>
          <w:rFonts w:hint="eastAsia" w:ascii="黑体" w:hAnsi="黑体" w:eastAsia="黑体" w:cs="黑体"/>
          <w:color w:val="000000"/>
          <w:kern w:val="0"/>
          <w:sz w:val="32"/>
          <w:szCs w:val="32"/>
        </w:rPr>
        <w:t>部门整体支出绩效评价报告</w:t>
      </w:r>
    </w:p>
    <w:p>
      <w:pPr>
        <w:snapToGrid w:val="0"/>
        <w:spacing w:line="520" w:lineRule="exact"/>
        <w:ind w:firstLine="560" w:firstLineChars="200"/>
        <w:rPr>
          <w:rFonts w:hint="eastAsia" w:ascii="楷体" w:hAnsi="楷体" w:eastAsia="楷体" w:cs="楷体"/>
          <w:sz w:val="28"/>
          <w:szCs w:val="28"/>
        </w:rPr>
      </w:pPr>
      <w:bookmarkStart w:id="0" w:name="YS060101"/>
      <w:r>
        <w:rPr>
          <w:rFonts w:hint="eastAsia" w:ascii="黑体" w:hAnsi="黑体" w:eastAsia="黑体" w:cs="黑体"/>
          <w:sz w:val="28"/>
          <w:szCs w:val="28"/>
        </w:rPr>
        <w:t>一、单位情况</w:t>
      </w:r>
    </w:p>
    <w:bookmarkEnd w:id="0"/>
    <w:p>
      <w:pPr>
        <w:snapToGrid w:val="0"/>
        <w:spacing w:line="520" w:lineRule="exact"/>
        <w:ind w:firstLine="562" w:firstLineChars="200"/>
        <w:rPr>
          <w:rFonts w:hint="eastAsia" w:ascii="楷体" w:hAnsi="楷体" w:eastAsia="楷体" w:cs="楷体"/>
          <w:b/>
          <w:sz w:val="28"/>
          <w:szCs w:val="28"/>
        </w:rPr>
      </w:pPr>
      <w:r>
        <w:rPr>
          <w:rFonts w:hint="eastAsia" w:ascii="楷体" w:hAnsi="楷体" w:eastAsia="楷体" w:cs="楷体"/>
          <w:b/>
          <w:sz w:val="28"/>
          <w:szCs w:val="28"/>
        </w:rPr>
        <w:t>（一）基本情况</w:t>
      </w:r>
    </w:p>
    <w:p>
      <w:pPr>
        <w:tabs>
          <w:tab w:val="left" w:pos="803"/>
        </w:tabs>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1.主要职能</w:t>
      </w:r>
    </w:p>
    <w:p>
      <w:pPr>
        <w:tabs>
          <w:tab w:val="left" w:pos="803"/>
        </w:tabs>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负责市场综合监督管理。贯彻执行市场监督管理的方针政策和法律法规，组织实施质量强区战略、食品安全战略、标准化战略和知识产权战略，拟订并组织实施全区市场监督管理工作规划、规范性文件，规范和维护市场秩序，营造诚实守信、公平竞争的市场环境。</w:t>
      </w:r>
    </w:p>
    <w:p>
      <w:pPr>
        <w:tabs>
          <w:tab w:val="left" w:pos="803"/>
        </w:tabs>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负责全区各类市场主体统一登记注册。指导各类企业（包括授权范围内的外商投资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tabs>
          <w:tab w:val="left" w:pos="803"/>
        </w:tabs>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（3）负责组织和指导全区市场监管综合执法工作。指导全区市场监管综合执法队伍整合和建设，推动实行统一的市场监管。承担区级市场监管综合执法任务，查处重大违法案件。规范市场监管行政执法行为。</w:t>
      </w:r>
    </w:p>
    <w:p>
      <w:pPr>
        <w:widowControl/>
        <w:shd w:val="clear" w:color="auto" w:fill="FFFFFF"/>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4）负责反垄断执法调查工作。推进竞争政策实施，实施公平竞争审查制度，依委托开展垄断协议、滥用市场支配地位号滥用行政权力排除、限制竞争等反垄断执法调查工作，协助企业在国外的反垄断应诉工作。</w:t>
      </w:r>
    </w:p>
    <w:p>
      <w:pPr>
        <w:tabs>
          <w:tab w:val="left" w:pos="1126"/>
        </w:tabs>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5）负责监督管理市场秩序。依法监督管理市场交易、网络商品交易及有关服务的行为。组织指导查处价格收费违法违规、不正当竞争、违法直销、传销、侵犯商标专利知识产权和制售假冒伪劣行为。指导广告业发展，监督管理广告活动。指导查处无照生产经营和相关无证生产经营行为。</w:t>
      </w:r>
    </w:p>
    <w:p>
      <w:pPr>
        <w:tabs>
          <w:tab w:val="left" w:pos="1053"/>
        </w:tabs>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6）负责宏观质量管理。贯彻国家质量发展的有关政策，拟订推进质量发展战略的政策措施并组织实施。会同有关部门组织实施重大工程设备质量监理制度，组织重大质量事故调查，配合实施缺陷产品召回制度。</w:t>
      </w:r>
    </w:p>
    <w:p>
      <w:pPr>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7）负责产品质量安全监督管理。管理产品质量安全风险监控、全区监督抽查工作。落实质量分级制度、质量安全追溯制度。负责工业产品生产许可管理。负责纤维质量监督管理工作。负责工业产品生产许可企业的市场监督管理。</w:t>
      </w:r>
    </w:p>
    <w:p>
      <w:pPr>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（8）负责特种设备安全监督管理。综合管理特种设备安全监察、监督工作。监督检查高耗能特种设备节能标准和锅炉环境保护标准的执行情况。按照规定权限组织调查处理特种设备事故并进行统计分析。</w:t>
      </w:r>
    </w:p>
    <w:p>
      <w:pPr>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9）负责食品安全监督管理综合协调。组织制定食品安全有关政策规定并组织实施。负责食品安全应急体系建设，组织和指导食品安全事件应急处置和调查处理工作。建立健全食品安全重要信息直报制度。承担区食品安全委员会日常工作。</w:t>
      </w:r>
    </w:p>
    <w:p>
      <w:pPr>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10）负责食品安全监督管理。建立覆盖食品生产、流通、消费全过程的监督检查制度和隐患排查治理机制并组织实施，防范区域性、系统性食品安全风险。推动建立食品生产经营者落实主体责任机制，健全食品安全追溯体系。组织开展食品安全监督抽检、风险监测、核查处置和风险预警、风险交流工作。组织实施特殊食品监督管理。负责食盐专营管理和食盐安全监督管理。</w:t>
      </w:r>
    </w:p>
    <w:p>
      <w:pPr>
        <w:pStyle w:val="2"/>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（11）负责统一管理计量工作。推行国家法定计量单位和组织执行国家计量制度。依职责管理计量器具及量值传递和比对工作。负责规范和监督商品量和市场计量行为。</w:t>
      </w:r>
    </w:p>
    <w:p>
      <w:pPr>
        <w:widowControl/>
        <w:shd w:val="clear" w:color="auto" w:fill="FFFFFF"/>
        <w:spacing w:line="52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sz w:val="28"/>
          <w:szCs w:val="28"/>
        </w:rPr>
        <w:t>（12）负责统一管理标准化工作。依法承担地方标准的立项、编号和发布工作，指导开展标准化试点示范工作。依据法定职责，对标准的制定进行指导监督，</w:t>
      </w:r>
      <w:r>
        <w:rPr>
          <w:rFonts w:hint="eastAsia" w:ascii="楷体" w:hAnsi="楷体" w:eastAsia="楷体" w:cs="楷体"/>
          <w:color w:val="000000"/>
          <w:kern w:val="0"/>
          <w:sz w:val="28"/>
          <w:szCs w:val="28"/>
        </w:rPr>
        <w:t>对标准的实施进行监督检查。推行采用国际标准。</w:t>
      </w:r>
    </w:p>
    <w:p>
      <w:pPr>
        <w:tabs>
          <w:tab w:val="left" w:pos="692"/>
        </w:tabs>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13）负责统一管理检验检测和认证认可工作。协调推进检验检测机构改革，规范检验检测市场，完善检验检测体系，指导协调检验检测行业发展。依法对检验检测机构资质资格及其检验活动进行监督管理，依法监督管理认证认可工作。</w:t>
      </w:r>
    </w:p>
    <w:p>
      <w:pPr>
        <w:tabs>
          <w:tab w:val="left" w:pos="1259"/>
        </w:tabs>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（14）负责市场监督管理、知识产权领域科技和信息化建设、新闻宣传、对外交流与合作。按规定承担技术性贸易措施有关工作。</w:t>
      </w:r>
    </w:p>
    <w:p>
      <w:pPr>
        <w:pStyle w:val="2"/>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（15）负责实施知识产权战略，推进知识产权强区建设。制定实施知识产权创造、保护、运用的政策和措施。负责知识产权公共服务体系建设，推动知识产权信息传播利用。</w:t>
      </w:r>
    </w:p>
    <w:p>
      <w:pPr>
        <w:pStyle w:val="2"/>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（16）负责保护知识产权。落实严格保护商标、专利、原产地地理标志等相关工作，负责知识产权保护体系建设，组织指导商标、专利执法工作。</w:t>
      </w:r>
    </w:p>
    <w:p>
      <w:pPr>
        <w:pStyle w:val="2"/>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（17）负责知识产权创造运用。按权限负责商标、专利和原产地地理标志的管理，开展知识产权运营体系建设，指导重大经济活动知识产权评议，规范知识产权交易和无形资产评估，促进知识产权转移转化。</w:t>
      </w:r>
    </w:p>
    <w:p>
      <w:pPr>
        <w:pStyle w:val="2"/>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（18）负责组织开展有关服务领域消费维权工作，查处假冒伪劣等违法行为，指导消费者咨询、申诉、举报受理、处理和网络体系建设等工作，保护经营者、消费者合法权益。</w:t>
      </w:r>
    </w:p>
    <w:p>
      <w:pPr>
        <w:pStyle w:val="2"/>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（19）负责权限内药品、医疗器械、化妆品行政许可；负责药品、医疗器械、保健食品广告内容的监测。</w:t>
      </w:r>
    </w:p>
    <w:p>
      <w:pPr>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20）负责监督实施药品（含中药、民族药，下同）和医疗器械和化妆品安全监督管理。贯彻执行国家药品、医疗器械和化妆品监督管理法律、法规、规章，拟定政策规划，并监督实施。研究拟定鼓励药品、医疗器械和化妆品新技术新产品的管理与服务政策。</w:t>
      </w:r>
    </w:p>
    <w:p>
      <w:pPr>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（21）负责职责范围内的药品、医疗器械、化妆品标准管理，监督实施药品、医疗器械、化妆品标准和分类管理制度，配合有关部门实施国家基本药物制度。</w:t>
      </w:r>
    </w:p>
    <w:p>
      <w:pPr>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（22）负责药品、医疗器械、化妆品监督管理。依规定监督实施药品生产、经营质量管理规范，监督实施医疗器械生产、经营质量管理规范，监督实施化妆品生产卫生标准和技术规范。</w:t>
      </w:r>
    </w:p>
    <w:p>
      <w:pPr>
        <w:pStyle w:val="2"/>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（23）负责药品、医疗器械、化妆品上市后风险管理。组织开展药品不良反应、医疗器械不良事件和化妆品不良反应的监测、评价和处置工作。依法承担药品、医疗器械和化妆品安全应急管理工作。</w:t>
      </w:r>
    </w:p>
    <w:p>
      <w:pPr>
        <w:pStyle w:val="2"/>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（24）负责组织实施药品、医疗器械、化妆品监督检查。依规定依法查处药品、医疗器械和化妆品经营、生产、使用以及互联网销售第三方平台违法行为。依职责组织指导查处其他环节违法行为。</w:t>
      </w:r>
    </w:p>
    <w:p>
      <w:pPr>
        <w:pStyle w:val="2"/>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（25）完成区委、区政府交办的其他任务。</w:t>
      </w:r>
    </w:p>
    <w:p>
      <w:pPr>
        <w:snapToGrid w:val="0"/>
        <w:spacing w:line="52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2．机构情况</w:t>
      </w:r>
    </w:p>
    <w:p>
      <w:pPr>
        <w:snapToGrid w:val="0"/>
        <w:spacing w:line="52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根据区委、区政府批准的《中共邵阳市大祥区区委办公室 邵阳市大祥区人民政府关于邵阳市大祥区级党政机关机构设置的通知》（邵大字[2019]2号），设立大祥区市场监督管理局。</w:t>
      </w:r>
      <w:r>
        <w:rPr>
          <w:rFonts w:hint="eastAsia" w:ascii="楷体" w:hAnsi="楷体" w:eastAsia="楷体" w:cs="楷体"/>
          <w:sz w:val="28"/>
          <w:szCs w:val="28"/>
        </w:rPr>
        <w:t>区市场监督管理局于今年3月底组建，在原来工商、食药的基础上进行整合，同时划入了物价、质监、知识产权、反垄断等部门职能，是区人民政府直属工作部门。目前“三定”工作基本完成，内设股室17个，具有市场监管、登记注册、综合执法、产品质量安全、特种设备监管、食品安全监管、药械化监管、统一计量标准等25项职能。</w:t>
      </w:r>
    </w:p>
    <w:p>
      <w:pPr>
        <w:snapToGrid w:val="0"/>
        <w:spacing w:line="52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3.人员情况</w:t>
      </w:r>
    </w:p>
    <w:p>
      <w:pPr>
        <w:snapToGrid w:val="0"/>
        <w:spacing w:line="520" w:lineRule="exact"/>
        <w:ind w:firstLine="560" w:firstLineChars="200"/>
        <w:rPr>
          <w:rFonts w:hint="eastAsia" w:ascii="楷体" w:hAnsi="楷体" w:eastAsia="楷体" w:cs="楷体"/>
          <w:sz w:val="28"/>
          <w:szCs w:val="28"/>
        </w:rPr>
      </w:pPr>
      <w:r>
        <w:rPr>
          <w:rFonts w:hint="eastAsia" w:ascii="楷体" w:hAnsi="楷体" w:eastAsia="楷体" w:cs="楷体"/>
          <w:color w:val="000000"/>
          <w:sz w:val="28"/>
          <w:szCs w:val="28"/>
        </w:rPr>
        <w:t>截止20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年12月底，</w:t>
      </w:r>
      <w:r>
        <w:rPr>
          <w:rFonts w:hint="eastAsia" w:ascii="楷体" w:hAnsi="楷体" w:eastAsia="楷体" w:cs="楷体"/>
          <w:sz w:val="28"/>
          <w:szCs w:val="28"/>
        </w:rPr>
        <w:t>现有行政编制74名，事业编制46名（包括执法大队二级事业编制11名），实有行政编制人员</w:t>
      </w:r>
      <w:r>
        <w:rPr>
          <w:rFonts w:hint="eastAsia" w:ascii="楷体" w:hAnsi="楷体" w:eastAsia="楷体" w:cs="楷体"/>
          <w:sz w:val="28"/>
          <w:szCs w:val="28"/>
          <w:lang w:val="en-US" w:eastAsia="zh-CN"/>
        </w:rPr>
        <w:t>90</w:t>
      </w:r>
      <w:r>
        <w:rPr>
          <w:rFonts w:hint="eastAsia" w:ascii="楷体" w:hAnsi="楷体" w:eastAsia="楷体" w:cs="楷体"/>
          <w:sz w:val="28"/>
          <w:szCs w:val="28"/>
        </w:rPr>
        <w:t>人，事业编制人员</w:t>
      </w:r>
      <w:r>
        <w:rPr>
          <w:rFonts w:hint="eastAsia" w:ascii="楷体" w:hAnsi="楷体" w:eastAsia="楷体" w:cs="楷体"/>
          <w:sz w:val="28"/>
          <w:szCs w:val="28"/>
          <w:lang w:val="en-US" w:eastAsia="zh-CN"/>
        </w:rPr>
        <w:t>20</w:t>
      </w:r>
      <w:r>
        <w:rPr>
          <w:rFonts w:hint="eastAsia" w:ascii="楷体" w:hAnsi="楷体" w:eastAsia="楷体" w:cs="楷体"/>
          <w:sz w:val="28"/>
          <w:szCs w:val="28"/>
        </w:rPr>
        <w:t>人，合计在职干部职工1</w:t>
      </w:r>
      <w:r>
        <w:rPr>
          <w:rFonts w:hint="eastAsia" w:ascii="楷体" w:hAnsi="楷体" w:eastAsia="楷体" w:cs="楷体"/>
          <w:sz w:val="28"/>
          <w:szCs w:val="28"/>
          <w:lang w:val="en-US" w:eastAsia="zh-CN"/>
        </w:rPr>
        <w:t>1</w:t>
      </w:r>
      <w:r>
        <w:rPr>
          <w:rFonts w:hint="eastAsia" w:ascii="楷体" w:hAnsi="楷体" w:eastAsia="楷体" w:cs="楷体"/>
          <w:sz w:val="28"/>
          <w:szCs w:val="28"/>
        </w:rPr>
        <w:t>0人，退休人员</w:t>
      </w:r>
      <w:r>
        <w:rPr>
          <w:rFonts w:hint="eastAsia" w:ascii="楷体" w:hAnsi="楷体" w:eastAsia="楷体" w:cs="楷体"/>
          <w:sz w:val="28"/>
          <w:szCs w:val="28"/>
          <w:lang w:val="en-US" w:eastAsia="zh-CN"/>
        </w:rPr>
        <w:t>67</w:t>
      </w:r>
      <w:r>
        <w:rPr>
          <w:rFonts w:hint="eastAsia" w:ascii="楷体" w:hAnsi="楷体" w:eastAsia="楷体" w:cs="楷体"/>
          <w:sz w:val="28"/>
          <w:szCs w:val="28"/>
        </w:rPr>
        <w:t>人。</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2" w:firstLineChars="200"/>
        <w:textAlignment w:val="auto"/>
        <w:rPr>
          <w:rFonts w:hint="eastAsia" w:ascii="楷体" w:hAnsi="楷体" w:eastAsia="楷体" w:cs="楷体"/>
          <w:b/>
          <w:sz w:val="28"/>
          <w:szCs w:val="28"/>
        </w:rPr>
      </w:pPr>
      <w:r>
        <w:rPr>
          <w:rFonts w:hint="eastAsia" w:ascii="楷体" w:hAnsi="楷体" w:eastAsia="楷体" w:cs="楷体"/>
          <w:b/>
          <w:sz w:val="28"/>
          <w:szCs w:val="28"/>
        </w:rPr>
        <w:t>当年取得的主要事业成效</w:t>
      </w:r>
      <w:bookmarkStart w:id="1" w:name="YS060102"/>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2" w:firstLineChars="200"/>
        <w:textAlignment w:val="auto"/>
        <w:rPr>
          <w:rFonts w:hint="eastAsia" w:ascii="楷体" w:hAnsi="楷体" w:eastAsia="楷体" w:cs="楷体"/>
          <w:b/>
          <w:sz w:val="28"/>
          <w:szCs w:val="28"/>
        </w:rPr>
      </w:pPr>
      <w:r>
        <w:rPr>
          <w:rFonts w:hint="eastAsia" w:ascii="楷体" w:hAnsi="楷体" w:eastAsia="楷体" w:cs="楷体"/>
          <w:b/>
          <w:sz w:val="28"/>
          <w:szCs w:val="28"/>
        </w:rPr>
        <w:t>（一）全面推进改革攻坚，持续改善大祥营商环境</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kern w:val="0"/>
          <w:sz w:val="28"/>
          <w:szCs w:val="28"/>
        </w:rPr>
      </w:pPr>
      <w:r>
        <w:rPr>
          <w:rFonts w:hint="eastAsia" w:ascii="楷体" w:hAnsi="楷体" w:eastAsia="楷体" w:cs="楷体"/>
          <w:b/>
          <w:sz w:val="28"/>
          <w:szCs w:val="28"/>
        </w:rPr>
        <w:t>一是持续深化企业准入制度改革。</w:t>
      </w:r>
      <w:r>
        <w:rPr>
          <w:rFonts w:hint="eastAsia" w:ascii="楷体" w:hAnsi="楷体" w:eastAsia="楷体" w:cs="楷体"/>
          <w:color w:val="222222"/>
          <w:kern w:val="0"/>
          <w:sz w:val="28"/>
          <w:szCs w:val="28"/>
        </w:rPr>
        <w:t>以服务地方经济和创造良好准入环境为工作重心，不断创新登记服务模式和手段，积极营造宽松平等的市场准入环境。结合省政府相继出台的关于促进经济平稳较快发展及市局服务经济发展指导意见，对企业和投资者一律放宽市场准入门槛，降低公司设立登记条件、放宽住所(经营场所)，规范申请资料格式、缩短办事时限、简化办事程序。进一步落实涉及市场准入43项涉照事项，</w:t>
      </w:r>
      <w:r>
        <w:rPr>
          <w:rFonts w:hint="eastAsia" w:ascii="楷体" w:hAnsi="楷体" w:eastAsia="楷体" w:cs="楷体"/>
          <w:kern w:val="0"/>
          <w:sz w:val="28"/>
          <w:szCs w:val="28"/>
        </w:rPr>
        <w:t>截止2020年12月21日，我局辖区内的企业共有7741户，个体工商户21595户。2020年新登记企业1556户、个体工商户3432户。2017年底推行全程电子化以来，已指导全程电子化办理营业执照1919户，今年全程电子化办理营业执照1105户，同期增长150.25%，网上名称自主申报核准2086次。2020年新办食品许可证1218户，餐饮许可证676户，药品许可证201户，器械许可证151户，小作坊3户同期增长100%。</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lang w:eastAsia="zh-CN"/>
        </w:rPr>
      </w:pPr>
      <w:r>
        <w:rPr>
          <w:rFonts w:hint="eastAsia" w:ascii="楷体" w:hAnsi="楷体" w:eastAsia="楷体" w:cs="楷体"/>
          <w:b/>
          <w:sz w:val="28"/>
          <w:szCs w:val="28"/>
        </w:rPr>
        <w:t>二是加速推进“一件事一次办”改革。</w:t>
      </w:r>
      <w:r>
        <w:rPr>
          <w:rFonts w:hint="eastAsia" w:ascii="楷体" w:hAnsi="楷体" w:eastAsia="楷体" w:cs="楷体"/>
          <w:sz w:val="28"/>
          <w:szCs w:val="28"/>
        </w:rPr>
        <w:t>加快推动“一件事一次办”改革举措落地见效，通过减时限、减环节、减材料、减跑动，进一步优化审批及服务流程。目前我区共设立6个“一件事一次办”综合服务窗口，除办理市场监管部门的营业执照、食品、餐饮等证照外，涉及烟草、环保、消防等其他部门的证照申请，均可统一提交至综合窗口，实行统一收件、分类审批、统一勘验、综合出件，实现了企业群众办事从每个部门“最多跑一次”向一件事“最多跑一次”的转变。以创建“群众最满意窗口”为重心，我局进一步完善了首办责任、一次性告知、预约服务、限时办结、最多跑一次和一件事一次办等工作制度规范，明确岗位责任，严格工作纪律</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三是全面实施“双随机、一公开”监管。</w:t>
      </w:r>
      <w:r>
        <w:rPr>
          <w:rFonts w:hint="eastAsia" w:ascii="楷体" w:hAnsi="楷体" w:eastAsia="楷体" w:cs="楷体"/>
          <w:sz w:val="28"/>
          <w:szCs w:val="28"/>
        </w:rPr>
        <w:t>对辖区市场主体年报、电子商务平台经营、广告发布、“四品一械”等开展随机抽查。切实加强系统集成抽查，合并安排检查对象和检查方式相近的事项，为企业和基层减负，“进一次门，查多项事”已经成为市场监管的主要方式之一。</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b/>
          <w:sz w:val="28"/>
          <w:szCs w:val="28"/>
        </w:rPr>
      </w:pPr>
      <w:r>
        <w:rPr>
          <w:rFonts w:hint="eastAsia" w:ascii="楷体" w:hAnsi="楷体" w:eastAsia="楷体" w:cs="楷体"/>
          <w:b/>
          <w:sz w:val="28"/>
          <w:szCs w:val="28"/>
        </w:rPr>
        <w:t>(二)全面推进监管加力，着力构建良好市场秩序</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一是加大反不正当竞争执法力度。</w:t>
      </w:r>
      <w:r>
        <w:rPr>
          <w:rFonts w:hint="eastAsia" w:ascii="楷体" w:hAnsi="楷体" w:eastAsia="楷体" w:cs="楷体"/>
          <w:sz w:val="28"/>
          <w:szCs w:val="28"/>
        </w:rPr>
        <w:t>我局联合区发改局、区司法局、区财政局、区商务局制定了《邵阳市大祥区开展妨碍统一市场和公平竞争的政策措施清理工作方案》，并审查规范性文件875份。</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二是继续深化打击传销工作。</w:t>
      </w:r>
      <w:r>
        <w:rPr>
          <w:rFonts w:hint="eastAsia" w:ascii="楷体" w:hAnsi="楷体" w:eastAsia="楷体" w:cs="楷体"/>
          <w:sz w:val="28"/>
          <w:szCs w:val="28"/>
        </w:rPr>
        <w:t>在市局的组织下，我局走进邵阳学院开展了“拒绝传销 从我做起”宣传与签名活动，出动执法人员12人，设置宣传展板6块，悬挂横幅3幅，发放宣传资料2000余份。在区政法委组织下，联合东湖寺派出所、铜铃社区，对群众反映的“东望集团”涉嫌从事传销的行为进行了核查。</w:t>
      </w:r>
    </w:p>
    <w:p>
      <w:pPr>
        <w:pStyle w:val="6"/>
        <w:keepNext w:val="0"/>
        <w:keepLines w:val="0"/>
        <w:pageBreakBefore w:val="0"/>
        <w:widowControl w:val="0"/>
        <w:kinsoku/>
        <w:wordWrap/>
        <w:overflowPunct/>
        <w:topLinePunct w:val="0"/>
        <w:autoSpaceDE/>
        <w:autoSpaceDN/>
        <w:bidi w:val="0"/>
        <w:adjustRightInd/>
        <w:spacing w:line="520" w:lineRule="exact"/>
        <w:ind w:left="0" w:leftChars="0" w:firstLine="562" w:firstLineChars="200"/>
        <w:jc w:val="both"/>
        <w:textAlignment w:val="auto"/>
        <w:rPr>
          <w:rFonts w:hint="eastAsia" w:ascii="楷体" w:hAnsi="楷体" w:eastAsia="楷体" w:cs="楷体"/>
          <w:bCs/>
          <w:sz w:val="28"/>
          <w:szCs w:val="28"/>
        </w:rPr>
      </w:pPr>
      <w:r>
        <w:rPr>
          <w:rFonts w:hint="eastAsia" w:ascii="楷体" w:hAnsi="楷体" w:eastAsia="楷体" w:cs="楷体"/>
          <w:b/>
          <w:sz w:val="28"/>
          <w:szCs w:val="28"/>
        </w:rPr>
        <w:t>三是深入开展重点领域专项执法工作。</w:t>
      </w:r>
      <w:r>
        <w:rPr>
          <w:rFonts w:hint="eastAsia" w:ascii="楷体" w:hAnsi="楷体" w:eastAsia="楷体" w:cs="楷体"/>
          <w:sz w:val="28"/>
          <w:szCs w:val="28"/>
        </w:rPr>
        <w:t>加大对欺行霸市、强买强卖、向市场经营者收保护费、变相从事高利贷等非法行为的线索摸排。共排查专业市场5个，走访经营户500余户。特别是在疫情期间，我局对破坏市场公平竞争秩序、哄抬物价等违法行为进行重点摸排治乱，共查处哄抬价格案件3起，没收违法所得34760元。</w:t>
      </w:r>
      <w:r>
        <w:rPr>
          <w:rFonts w:hint="eastAsia" w:ascii="楷体" w:hAnsi="楷体" w:eastAsia="楷体" w:cs="楷体"/>
          <w:bCs/>
          <w:color w:val="000000"/>
          <w:sz w:val="28"/>
          <w:szCs w:val="28"/>
        </w:rPr>
        <w:t>组织力量对邵阳市人民银行移送的44户电信涉及网络新型违法犯罪可疑企业进行调查核实。积极推进保健食品科普宣传进社区、进乡村、进网络、进校园、进商超等人群聚集的场所，累计发放“护老”行动和保健食品宣传资料1000余份，共出动执法人员355人次，车辆60余台次，检查保健食品经营企业100余家，共办理护老食品案件10起，处罚金额约14万元。</w:t>
      </w:r>
      <w:r>
        <w:rPr>
          <w:rFonts w:hint="eastAsia" w:ascii="楷体" w:hAnsi="楷体" w:eastAsia="楷体" w:cs="楷体"/>
          <w:bCs/>
          <w:sz w:val="28"/>
          <w:szCs w:val="28"/>
        </w:rPr>
        <w:t>开展广告导向内容专项整治、农村户外广告专项整治、“软色情”广告整治，整改不文明广告26处。以金融类广告为重点监测对象，加大对含有投资理财、贷款中介、信用担保、典当等内容的违法的监管力度，截至目前，立案查处发布违法广告类案件2起，罚没金额5万元。文明规范、权威高效的监管执法体系逐步完善，公平竞争、诚信守法的市场经营秩序基本形成。截止目前，我局累计立案数为63件（其中食药相关案件35件），累计结案数63件（其中食药相关案件35件），移送案件1件，累计罚没款收入1</w:t>
      </w:r>
      <w:r>
        <w:rPr>
          <w:rFonts w:hint="eastAsia" w:ascii="楷体" w:hAnsi="楷体" w:eastAsia="楷体" w:cs="楷体"/>
          <w:bCs/>
          <w:sz w:val="28"/>
          <w:szCs w:val="28"/>
          <w:lang w:val="en-US" w:eastAsia="zh-CN"/>
        </w:rPr>
        <w:t>27.19</w:t>
      </w:r>
      <w:r>
        <w:rPr>
          <w:rFonts w:hint="eastAsia" w:ascii="楷体" w:hAnsi="楷体" w:eastAsia="楷体" w:cs="楷体"/>
          <w:bCs/>
          <w:sz w:val="28"/>
          <w:szCs w:val="28"/>
        </w:rPr>
        <w:t>万。</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四是严厉打击野生动物违法违规交易行为。</w:t>
      </w:r>
      <w:r>
        <w:rPr>
          <w:rFonts w:hint="eastAsia" w:ascii="楷体" w:hAnsi="楷体" w:eastAsia="楷体" w:cs="楷体"/>
          <w:sz w:val="28"/>
          <w:szCs w:val="28"/>
        </w:rPr>
        <w:t>我局坚决贯彻落实习近平总书记“加强市场监督，坚决取缔和严厉打击非法野生动物市场和贸易”重要讲话精神，按《食品安全法》和《野生动物保护法》的要求，对索证索票、进销货台帐、进货查验、检验检疫报告等相关资料核查，确保在销售环节、消费环节无买卖野生动物违法违规交易行为发生。截止到11月底，出动执法人员1262人次，车辆402台次，排查农（集）贸市场22家，商场超市261户，餐饮单位2068户，发放宣传资料956份。对湖南省网络交易公众服务网本辖区内网站平台开展重点监测，共累计监测网店2632余次，督促下架删除野生动物信息2条，责令改正企业23家，目前尚未发现网上野生动物违法交易行为。</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五是禁捕退捕工作稳步推进。</w:t>
      </w:r>
      <w:r>
        <w:rPr>
          <w:rFonts w:hint="eastAsia" w:ascii="楷体" w:hAnsi="楷体" w:eastAsia="楷体" w:cs="楷体"/>
          <w:sz w:val="28"/>
          <w:szCs w:val="28"/>
        </w:rPr>
        <w:t>我局牢牢把握“五个严格”贯彻落实区委、区政府关于长江流域禁捕工作相关精神。严格市场准入，对新申请经营范围、名称中含有“江鲜”等字样企业，严把市场准入关。摸清现有餐饮、水产品销售企业经营范围、名称中含有“捕捞”“江鲜”等字样的企业底数，做好不合规企业的整改工作。严格监督检查，加大对相关市场主体监督检查力度，督促严格落实索证索票、进货查验记录制度。对重点场所、重点行业进行全覆盖检查，严禁非法捕捞渔获物入市销售，严禁采购、加工、经营、利用非法捕捞渔获物。严格网络监管，加强电商平台监管，强化网络交易监测，杜绝长江非法捕捞渔获物网络销售行为。督促属地电商平台落实主体责任，主动加强监测，及时采取下架违法信息、终止提供平台服务等必要处置措施。严格广告监管，加强对传统媒体、互联网等广告发布的日常监测。对发布涉及销售长江水产品的广告内容，重点开展监测排查。对包括长江水产品在内的，依法禁止出售、购买、利用的“江鲜”及其制品，以及依法禁止使用的捕猎工具，一律禁止发布广告。严格稽查执法，依法对商品的来源、质量作虚假或者引人误解的商业宣传，欺骗、误导消费者，构成虛假宣传不正当竞争行为的，依法予以查处。对未经批准、未取得或者未按照规定使用专用标识，出售、购买长江流域珍贵、濒危水生野生动物及其制品等违法行为，依法从重予以查处。目前，我局已对全区已登记的市场主体的名称和经营范围进行清理清查，共检查出9户河鱼馆，已全部进行了变更、注销和停业整顿。</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b/>
          <w:sz w:val="28"/>
          <w:szCs w:val="28"/>
        </w:rPr>
      </w:pPr>
      <w:r>
        <w:rPr>
          <w:rFonts w:hint="eastAsia" w:ascii="楷体" w:hAnsi="楷体" w:eastAsia="楷体" w:cs="楷体"/>
          <w:b/>
          <w:sz w:val="28"/>
          <w:szCs w:val="28"/>
        </w:rPr>
        <w:t>（三）全面推进管控从严，有力防范化解安全风险</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一是切实加强食品安全监管。</w:t>
      </w:r>
      <w:r>
        <w:rPr>
          <w:rFonts w:hint="eastAsia" w:ascii="楷体" w:hAnsi="楷体" w:eastAsia="楷体" w:cs="楷体"/>
          <w:sz w:val="28"/>
          <w:szCs w:val="28"/>
        </w:rPr>
        <w:t>继续开展“护源”“护苗”“护老”专项行动，以校园周边、超市、餐饮、宾馆等为重点，强化食品生产加工小作坊规范监管，推动食品生产质量提升。同时扎实开展大米生产经营单位风险隐患大排查、包装饮用水专项整治工作。针对新冠肺炎疫情常态化防控新要求，对海产品经营实行动态网格监管，组织开展冷冻冷藏肉品和南美冻白虾排查行动，查封扣押冷冻肉品215kg。截止目前，对食品、食用农产品进行抽检500余批次。组织开展 “3.15”、“3、31”“食品安全宣传周”、野生蘑菇中毒防控等宣传活动。</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二是从严加强药械化监管。</w:t>
      </w:r>
      <w:r>
        <w:rPr>
          <w:rFonts w:hint="eastAsia" w:ascii="楷体" w:hAnsi="楷体" w:eastAsia="楷体" w:cs="楷体"/>
          <w:sz w:val="28"/>
          <w:szCs w:val="28"/>
        </w:rPr>
        <w:t>认真组织开展全国安全用药月宣传活动，通过摆放展台、发放宣传资料等方式向公众普及安全用药知识，发放各类宣传资料4000份。对辖区药店进行摸底排查，聚焦血液制品、注射剂、特殊药品、无菌和植入类医疗器械等高风险产品，认真开展中药饮片、无证经营、经营使用无证医疗器械整治行动，规范药店经营行为，加大不良反应监测力度，配合市局开展药品“飞检”，共下发责令改正通知书7份。</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三是加强特种设备和重点产品质量安全监管。</w:t>
      </w:r>
      <w:r>
        <w:rPr>
          <w:rFonts w:hint="eastAsia" w:ascii="楷体" w:hAnsi="楷体" w:eastAsia="楷体" w:cs="楷体"/>
          <w:sz w:val="28"/>
          <w:szCs w:val="28"/>
        </w:rPr>
        <w:t>开展了“年关守护”、“电取暖器产品质量安全”、“电动自行车专项治理”、安全生产“春雷2020”暨集中整治行动、“520世界计量日”计量专项整治，特种设备安全专项整治三年行动、等六个专项整治。突出重点行业、重点区域、重点设备，实施全面推进，不留盲区，不存死角。重点检查特种设备使用单位落实安全管理主体责任情况，是否做到了“三落实、两有证、一检验”。共出动执法、检查人员20人次，车辆12次，全年新办、补办特种设备使用登记证932份，检查单位6家，发出安全监察意见通知书3份，排查中发现存在安全隐患的设备3台，目前存在隐患的3台设备已全部整改完毕，整改率为100﹪。对辖区大型百货超市、KTV歌厅等人员密集经营场所及液化气站、消防产品、电动车等易发生安全事故的经营户进行排查，查封扣押国家明令淘汰的疏散指示标志262块、安全出口标志144块，切实加强特种设备和重点产品质量安全风险隐患排查。</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b/>
          <w:sz w:val="28"/>
          <w:szCs w:val="28"/>
        </w:rPr>
      </w:pPr>
      <w:r>
        <w:rPr>
          <w:rFonts w:hint="eastAsia" w:ascii="楷体" w:hAnsi="楷体" w:eastAsia="楷体" w:cs="楷体"/>
          <w:b/>
          <w:sz w:val="28"/>
          <w:szCs w:val="28"/>
        </w:rPr>
        <w:t>（四）全面推进服务提质，积极助力经济跨越发展</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一是加强知识产权强区建设。</w:t>
      </w:r>
      <w:r>
        <w:rPr>
          <w:rFonts w:hint="eastAsia" w:ascii="楷体" w:hAnsi="楷体" w:eastAsia="楷体" w:cs="楷体"/>
          <w:sz w:val="28"/>
          <w:szCs w:val="28"/>
        </w:rPr>
        <w:t>全面提升知识产权创造质量、保护效果、运用效益、管理水平和服务能力，深入企业、园区、科研院所等重点单位，将辖区20家年产值2亿以上、300家规模以上企业纳入重点培育对象清单，至2020年</w:t>
      </w:r>
      <w:r>
        <w:rPr>
          <w:rFonts w:hint="eastAsia" w:ascii="楷体" w:hAnsi="楷体" w:eastAsia="楷体" w:cs="楷体"/>
          <w:sz w:val="28"/>
          <w:szCs w:val="28"/>
          <w:lang w:val="en-US" w:eastAsia="zh-CN"/>
        </w:rPr>
        <w:t>12</w:t>
      </w:r>
      <w:r>
        <w:rPr>
          <w:rFonts w:hint="eastAsia" w:ascii="楷体" w:hAnsi="楷体" w:eastAsia="楷体" w:cs="楷体"/>
          <w:sz w:val="28"/>
          <w:szCs w:val="28"/>
        </w:rPr>
        <w:t>月底，2020年专利申请量为823件，发明专利申请量为186件，完成2020年度任务比例的116%，较去年同期增长36%。通过指导企业培育一批高质量、高价值的国字号专利，打造专利创造新增长点。我区已经正式被省知识产权局评为2020年度省知识产权建设强区强区。</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color w:val="FF0000"/>
          <w:sz w:val="28"/>
          <w:szCs w:val="28"/>
        </w:rPr>
      </w:pPr>
      <w:r>
        <w:rPr>
          <w:rFonts w:hint="eastAsia" w:ascii="楷体" w:hAnsi="楷体" w:eastAsia="楷体" w:cs="楷体"/>
          <w:b/>
          <w:sz w:val="28"/>
          <w:szCs w:val="28"/>
        </w:rPr>
        <w:t>三是大力实施品牌强区战略。</w:t>
      </w:r>
      <w:r>
        <w:rPr>
          <w:rFonts w:hint="eastAsia" w:ascii="楷体" w:hAnsi="楷体" w:eastAsia="楷体" w:cs="楷体"/>
          <w:sz w:val="28"/>
          <w:szCs w:val="28"/>
        </w:rPr>
        <w:t>大力推进商标战略，以城乡结合部为重点，深入农副产品、床垫、电力设备等行业进行宣传指导，精心打造高知名度农产品商标品牌，今年第三季度，全区新申请注册商标525件，成功注册449件，全区目前有效商标注册量为2330件。较去年同期增长26%。其中中国驰名商标1件。地理标志产品宝庆朝天辣椒通过省级专家评审，正由国家农业农村部进行评审。</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四是大力推进创文固卫工作，</w:t>
      </w:r>
      <w:r>
        <w:rPr>
          <w:rStyle w:val="7"/>
          <w:rFonts w:hint="eastAsia" w:ascii="楷体" w:hAnsi="楷体" w:eastAsia="楷体" w:cs="楷体"/>
          <w:sz w:val="28"/>
          <w:szCs w:val="28"/>
        </w:rPr>
        <w:t>就网报资料、实地测评两大块明确了12大类44条任务清单，以校园周边、超市、餐饮、宾馆等为重点，对标对表进行清查整改，积极开展诚信建设、志愿服务等文明创建活动，严格按要求、按进度报送工作动态和图片资料。我局多方筹措资金31万余元，制作并向全区2600余家餐饮经营单位分发了大祥区食品安全监管信息公示牌，分发了5000张“光盘行动”宣传海报和3万张“光盘行动”桌贴，出动1170余人次对重点路段的餐饮经营户进行宣传和规范。目前，全区各主次干道“光盘行动”覆盖率已达95%以上。相关工作经验被《大祥区要情》采用，在全区予以推介。共向经营户发放“创建文明城市的一封信”倡议书20000多份，指导商场（超市）、门店以电子显示屏、张贴标识等方式宣传创文1000余件次，在主商业街和商城超市悬挂文明诚信经营公益宣传牌2000多块、创文宣传栏16块。</w:t>
      </w:r>
      <w:r>
        <w:rPr>
          <w:rFonts w:hint="eastAsia" w:ascii="楷体" w:hAnsi="楷体" w:eastAsia="楷体" w:cs="楷体"/>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b/>
          <w:sz w:val="28"/>
          <w:szCs w:val="28"/>
        </w:rPr>
      </w:pPr>
      <w:r>
        <w:rPr>
          <w:rFonts w:hint="eastAsia" w:ascii="楷体" w:hAnsi="楷体" w:eastAsia="楷体" w:cs="楷体"/>
          <w:b/>
          <w:sz w:val="28"/>
          <w:szCs w:val="28"/>
        </w:rPr>
        <w:t>（五）全面推进民生护航，重拳出击整治市场乱象</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一是切实加大打击假冒伪劣力度。</w:t>
      </w:r>
      <w:r>
        <w:rPr>
          <w:rFonts w:hint="eastAsia" w:ascii="楷体" w:hAnsi="楷体" w:eastAsia="楷体" w:cs="楷体"/>
          <w:sz w:val="28"/>
          <w:szCs w:val="28"/>
        </w:rPr>
        <w:t>我局以监督抽查为抓手，紧紧围绕产品质量监督这个中心，截止目前，共进行了口罩生产企业专项检查，电动自行车抽检，学生用品及儿童玩具检查，毛巾产品的抽查，家具产品专项检查，烟花爆竹产品专项检查。其中，口罩合格率达87%，学生用品儿童玩具合格率达100%，电动自行车合格率达100%，毛巾产品合格率达100%，家具产品合格率为56%，服装合格率达69%，烟花爆竹产品合格率为45.5%，对三家服装经销商下达责令整改通知，要求其召回不合格的产品，对一家家具厂和一家烟花爆竹批发企业已立案调查。</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二是切实加大民生价格监管力度。</w:t>
      </w:r>
      <w:r>
        <w:rPr>
          <w:rFonts w:hint="eastAsia" w:ascii="楷体" w:hAnsi="楷体" w:eastAsia="楷体" w:cs="楷体"/>
          <w:sz w:val="28"/>
          <w:szCs w:val="28"/>
        </w:rPr>
        <w:t>疫情防控期间，以人民群众密切关注的口罩、消毒水等防控用品为重点，加大监管巡查力度，确保各类防控用品价格稳定，对破坏市场公平竞争秩序、哄抬物价等违法行为进行重点摸排治乱。共查处哄抬价格案件3起。所查处的案件得到上级部门的充分肯定，在省局公布的第一批疫情防控期间价格违法案件及市局公布的10起新型冠状病毒感染的肺炎防控期间违法典型案例中，我局各占一起。通过“双随机、一公开”的方式对步步高商业连锁股份有限公司、邵阳市顺得房地产开发有限公司转供电电费执收情况进行检查。对汇菁国际、乾道南院、汇福铭苑等房地产企业的收费行为进行了规范。开展了节假日期间市场价格监督检查。</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三是切实加大消费维权力度。</w:t>
      </w:r>
      <w:r>
        <w:rPr>
          <w:rFonts w:hint="eastAsia" w:ascii="楷体" w:hAnsi="楷体" w:eastAsia="楷体" w:cs="楷体"/>
          <w:sz w:val="28"/>
          <w:szCs w:val="28"/>
        </w:rPr>
        <w:t>截止到12月18日，通过12315、12345及网络平台受理各类消费者咨询、申诉、举报案件1478起，共计为消费者挽回经济损失178.99万元，充分发挥12315投诉举报平台和“一会两站”消费维权投诉举报网络的作用，结合12315“五进”活动，充分利用网络、报纸、电视等新闻媒体，在大型商场、超市、社区开辟宣传栏等形式宣传涉及预付卡消费的法律法规和预付卡消费的潜在风险，适时发布“消费提示”和“消费警示”，公布典型案例，曝光违法侵权行为。在省局政务信息、红网、市局内网、邵阳晚报、邵阳新闻在线、邵阳新闻网、交通频道已发表各类消费维权报道30余篇。</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b/>
          <w:sz w:val="28"/>
          <w:szCs w:val="28"/>
        </w:rPr>
      </w:pPr>
      <w:r>
        <w:rPr>
          <w:rFonts w:hint="eastAsia" w:ascii="楷体" w:hAnsi="楷体" w:eastAsia="楷体" w:cs="楷体"/>
          <w:b/>
          <w:sz w:val="28"/>
          <w:szCs w:val="28"/>
        </w:rPr>
        <w:t>（六）全面推进队伍转型，努力锻造市场监管铁军</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一是强化思想政治建设。</w:t>
      </w:r>
      <w:r>
        <w:rPr>
          <w:rFonts w:hint="eastAsia" w:ascii="楷体" w:hAnsi="楷体" w:eastAsia="楷体" w:cs="楷体"/>
          <w:sz w:val="28"/>
          <w:szCs w:val="28"/>
        </w:rPr>
        <w:t>充分运用“宣传思想+党的建设+市场监管”“3+3”模式，扎实有效开展“强化意识形态责任、狠抓干部作风建设”活动。明确党组为立足点、党支部为着力点、党员为发力点，三点联线确保活动开展取得实效；注重学习层面、学习效果、学习运用，三点齐抓提升理论素养激发潜力；结合日常工作、中心工作、重点工作，三点运用促进整体工作向前发展。同时，全面落实区委关于意识形态工作责任制的相关要求，持续加强意识形态领域的管理，牢牢掌握意识形态工作的领导权、主动权和话语权。</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二是加强党风廉政建设。</w:t>
      </w:r>
      <w:r>
        <w:rPr>
          <w:rFonts w:hint="eastAsia" w:ascii="楷体" w:hAnsi="楷体" w:eastAsia="楷体" w:cs="楷体"/>
          <w:sz w:val="28"/>
          <w:szCs w:val="28"/>
        </w:rPr>
        <w:t>持续巩固深化“不忘初心、牢记使命”主题教育成果，不断强化机关作风建设。围绕区委和上级党组织要求开展活动，按照党要管党、从严治党的原则，坚持正常的组织生活制度、民主生活会制度及“三会一课”制度。认真组织党员干部学习习近平新时代中国特色社会主义思想和习近平总书记一系列重要讲话精神，在全局党员中开展学习党章、遵守党章、维护党章活动。长效坚持开展“三严三实”专题教育，使党员干部在是非面前增强辨别能力，在诱惑面前增强自控能力，在警示面前增强悔过能力。同时，围绕廉洁单位创建，积极抓好党风廉政警示教育，引导党员干部常修为政之德、常思贪欲之害、常怀律己之心。强化制度建设，结合巡视巡察反馈、执法办案中发现的问题，反思本单位制度漏洞，制定了19个规章管理制度。坚持民主评议党员制度。通过对党员正面教育、自我教育和党内外群众的评议、考核，从而达到激励党员、纯洁组织的目的，提高了党员干部的整体素质。</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三是加强业务素质建设。</w:t>
      </w:r>
      <w:r>
        <w:rPr>
          <w:rFonts w:hint="eastAsia" w:ascii="楷体" w:hAnsi="楷体" w:eastAsia="楷体" w:cs="楷体"/>
          <w:sz w:val="28"/>
          <w:szCs w:val="28"/>
        </w:rPr>
        <w:t>为尽快适应改革后市场监管工作新要求，我局认真梳理市场监管部门有关职权和法律法规，有针对性地开展法制培训，先后开办4期专题讲座，邀请专业律师、办案能手等专业型人才，就如何发现案源、调查取证、法律适用等问题进行详细剖析，切实达到以讲促学、以学促干、学以致用、学用相长的目的，为做好市场监管各项工作打下坚实的法制基础。</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b/>
          <w:sz w:val="28"/>
          <w:szCs w:val="28"/>
        </w:rPr>
      </w:pPr>
      <w:r>
        <w:rPr>
          <w:rFonts w:hint="eastAsia" w:ascii="楷体" w:hAnsi="楷体" w:eastAsia="楷体" w:cs="楷体"/>
          <w:b/>
          <w:sz w:val="28"/>
          <w:szCs w:val="28"/>
        </w:rPr>
        <w:t>（七）全力做好疫情防控，促进和保障社会经济发展</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一是加强组织领导，层层落实责任。</w:t>
      </w:r>
      <w:r>
        <w:rPr>
          <w:rFonts w:hint="eastAsia" w:ascii="楷体" w:hAnsi="楷体" w:eastAsia="楷体" w:cs="楷体"/>
          <w:sz w:val="28"/>
          <w:szCs w:val="28"/>
        </w:rPr>
        <w:t>成立市场监管局疫情防控工作领导小组和专职办公室，统筹协调，上下联动，层层传导压力。主要领导抓总责，分管领导分环节负责，按基层所划分，，层层划片包干，严格落实责任，将全区划分为五个监管片区，由机关人员和各基层所组成联合监管组，对市场各个环节展开全覆盖排查和监督，确保大市场疫情防控工作有序、高效进行。全局共累计安排一线工作人员100余人。</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二是加强市场排查，严厉打击不法行为。</w:t>
      </w:r>
      <w:r>
        <w:rPr>
          <w:rFonts w:hint="eastAsia" w:ascii="楷体" w:hAnsi="楷体" w:eastAsia="楷体" w:cs="楷体"/>
          <w:sz w:val="28"/>
          <w:szCs w:val="28"/>
        </w:rPr>
        <w:t>我局重点从蔬菜、粮油等生活必需品，抗病毒药品、疫情防护用品等入手，严厉打击生产销售假冒伪劣商品行为。要求市场主体明码标价、公开价格承诺，严厉打击囤积居奇、哄抬物价，散布假消息欺诈消费等行为。疫情防控期间，共查处了邵阳湘中宝城大药房连锁有限公司长春药店哄抬价格销售84消毒液、湖南九福大药房连锁有限公司临津门店哄抬价格销售口罩、湖南康尔佳宝庆大药房连锁有限公司益康药店未按规定明码标价、哄抬价格销售口罩等违法行为。有力维护了疫情期间价格稳定和市场正常经济秩序。</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三是多措并举，维护市场平稳运行。</w:t>
      </w:r>
      <w:r>
        <w:rPr>
          <w:rFonts w:hint="eastAsia" w:ascii="楷体" w:hAnsi="楷体" w:eastAsia="楷体" w:cs="楷体"/>
          <w:sz w:val="28"/>
          <w:szCs w:val="28"/>
        </w:rPr>
        <w:t>按照市、区疫情防控工作安排部署，2月份对全区所有经营门店实行了临时管制，在防疫期间一律暂停营业，只允许综合农贸市场和部分规模较大的超市、药品经营企业对外营业。所有餐饮店禁止营业。个别婴孕商铺可通过美团、饿了么等外卖公司无接触售卖部分商品。严格管理各个环节从业人员，每日进行检查，外卖从业人员严格执行每日测温正常后上岗，及时监测市场消费环节发热顾客信息，积极配合相关单位做好体温异常人员管控工作。要求各经营主体在保质量、保稳价的前提下保障市场供应。组织工作人员每日对市场公共区域进行定时消毒，督促市场主体开展进店顾客信息登记、体温测量、宣传佩戴口罩等工作要求所有药品经营商家，主动加强药品和医疗防护用品的购进，采取实名登记方式销售感冒药、退热药，并对顾客进行体温测量，登记信息包括：姓名、性别、身份证号、手机号、居住地址等。</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四是稳妥推进复工复产，统筹疫情防控和社会经济发展。</w:t>
      </w:r>
      <w:r>
        <w:rPr>
          <w:rFonts w:hint="eastAsia" w:ascii="楷体" w:hAnsi="楷体" w:eastAsia="楷体" w:cs="楷体"/>
          <w:sz w:val="28"/>
          <w:szCs w:val="28"/>
        </w:rPr>
        <w:t>我局按照区政府《关于支持和推动企业复工复产的暂行办法》要求，积极做好餐饮行业、药品、医疗器械、农贸市场、商场超市复工复产服务。集中人员力量，强化责任分工，由一把手带队，分管领导牵头，机关股室人员全部下所，将辖区路段划分5个监管区、43个网格，确保工作任务分解到人到岗，每天出动执法人员100人次以上，切实加强动态监管。</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both"/>
        <w:textAlignment w:val="auto"/>
        <w:rPr>
          <w:rFonts w:hint="eastAsia" w:ascii="楷体" w:hAnsi="楷体" w:eastAsia="楷体" w:cs="楷体"/>
          <w:sz w:val="28"/>
          <w:szCs w:val="28"/>
        </w:rPr>
      </w:pPr>
      <w:r>
        <w:rPr>
          <w:rFonts w:hint="eastAsia" w:ascii="楷体" w:hAnsi="楷体" w:eastAsia="楷体" w:cs="楷体"/>
          <w:b/>
          <w:sz w:val="28"/>
          <w:szCs w:val="28"/>
        </w:rPr>
        <w:t>五是坚持不放松，做好常态化疫情防控工作。</w:t>
      </w:r>
      <w:r>
        <w:rPr>
          <w:rFonts w:hint="eastAsia" w:ascii="楷体" w:hAnsi="楷体" w:eastAsia="楷体" w:cs="楷体"/>
          <w:sz w:val="28"/>
          <w:szCs w:val="28"/>
        </w:rPr>
        <w:t>我局时刻绷紧疫情防控这根线，做好长期作战的思想准备，坚持外防输入，内防反弹，抓紧抓实抓细各项常态化防控工作。出台了《大祥区市场监督管理局应对秋冬季新冠肺炎疫情防控和常态化疫情防控工作方案》，持续加强对重点场所、药店、冷冻冷链食品等监管，保持零容忍的高压态势，全面禁止野生动物交易。保市场供应，保价格稳定。</w:t>
      </w:r>
    </w:p>
    <w:p>
      <w:pPr>
        <w:snapToGrid w:val="0"/>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、收入支出预算执行情况分析</w:t>
      </w:r>
    </w:p>
    <w:bookmarkEnd w:id="1"/>
    <w:p>
      <w:pPr>
        <w:snapToGrid w:val="0"/>
        <w:spacing w:line="520" w:lineRule="exact"/>
        <w:ind w:firstLine="562" w:firstLineChars="200"/>
        <w:rPr>
          <w:rFonts w:hint="eastAsia" w:ascii="仿宋_GB2312" w:hAnsi="仿宋" w:eastAsia="仿宋_GB2312"/>
          <w:sz w:val="32"/>
          <w:szCs w:val="32"/>
        </w:rPr>
      </w:pPr>
      <w:r>
        <w:rPr>
          <w:rFonts w:hint="eastAsia" w:ascii="楷体" w:hAnsi="楷体" w:eastAsia="楷体" w:cs="楷体"/>
          <w:b/>
          <w:sz w:val="28"/>
          <w:szCs w:val="28"/>
        </w:rPr>
        <w:t>（一）收入支出预算安排情况。</w:t>
      </w:r>
    </w:p>
    <w:p>
      <w:pPr>
        <w:snapToGrid w:val="0"/>
        <w:spacing w:line="520" w:lineRule="exact"/>
        <w:ind w:firstLine="560" w:firstLineChars="200"/>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rPr>
        <w:t>2</w:t>
      </w:r>
      <w:r>
        <w:rPr>
          <w:rFonts w:hint="eastAsia" w:ascii="楷体" w:hAnsi="楷体" w:eastAsia="楷体" w:cs="楷体"/>
          <w:color w:val="000000"/>
          <w:sz w:val="28"/>
          <w:szCs w:val="28"/>
          <w:lang w:val="en-US" w:eastAsia="zh-CN"/>
        </w:rPr>
        <w:t>020</w:t>
      </w:r>
      <w:r>
        <w:rPr>
          <w:rFonts w:hint="eastAsia" w:ascii="楷体" w:hAnsi="楷体" w:eastAsia="楷体" w:cs="楷体"/>
          <w:color w:val="000000"/>
          <w:sz w:val="28"/>
          <w:szCs w:val="28"/>
        </w:rPr>
        <w:t>年年初预算收入</w:t>
      </w:r>
      <w:r>
        <w:rPr>
          <w:rFonts w:hint="eastAsia" w:ascii="楷体" w:hAnsi="楷体" w:eastAsia="楷体" w:cs="楷体"/>
          <w:color w:val="000000"/>
          <w:sz w:val="28"/>
          <w:szCs w:val="28"/>
          <w:lang w:val="en-US" w:eastAsia="zh-CN"/>
        </w:rPr>
        <w:t>393.93万</w:t>
      </w:r>
      <w:r>
        <w:rPr>
          <w:rFonts w:hint="eastAsia" w:ascii="楷体" w:hAnsi="楷体" w:eastAsia="楷体" w:cs="楷体"/>
          <w:color w:val="000000"/>
          <w:sz w:val="28"/>
          <w:szCs w:val="28"/>
        </w:rPr>
        <w:t>元，</w:t>
      </w:r>
      <w:r>
        <w:rPr>
          <w:rFonts w:hint="eastAsia" w:ascii="楷体" w:hAnsi="楷体" w:eastAsia="楷体" w:cs="楷体"/>
          <w:color w:val="000000"/>
          <w:sz w:val="28"/>
          <w:szCs w:val="28"/>
          <w:lang w:eastAsia="zh-CN"/>
        </w:rPr>
        <w:t>相比上年预算增加</w:t>
      </w:r>
      <w:r>
        <w:rPr>
          <w:rFonts w:hint="eastAsia" w:ascii="楷体" w:hAnsi="楷体" w:eastAsia="楷体" w:cs="楷体"/>
          <w:color w:val="000000"/>
          <w:sz w:val="28"/>
          <w:szCs w:val="28"/>
          <w:lang w:val="en-US" w:eastAsia="zh-CN"/>
        </w:rPr>
        <w:t>44.37万元，增幅11.26%;</w:t>
      </w:r>
      <w:r>
        <w:rPr>
          <w:rFonts w:hint="eastAsia" w:ascii="楷体" w:hAnsi="楷体" w:eastAsia="楷体" w:cs="楷体"/>
          <w:color w:val="000000"/>
          <w:sz w:val="28"/>
          <w:szCs w:val="28"/>
        </w:rPr>
        <w:t>年底调整预算总收入</w:t>
      </w:r>
      <w:r>
        <w:rPr>
          <w:rFonts w:hint="eastAsia" w:ascii="楷体" w:hAnsi="楷体" w:eastAsia="楷体" w:cs="楷体"/>
          <w:color w:val="000000"/>
          <w:sz w:val="28"/>
          <w:szCs w:val="28"/>
          <w:lang w:val="en-US" w:eastAsia="zh-CN"/>
        </w:rPr>
        <w:t>2400.63</w:t>
      </w:r>
      <w:r>
        <w:rPr>
          <w:rFonts w:hint="eastAsia" w:ascii="楷体" w:hAnsi="楷体" w:eastAsia="楷体" w:cs="楷体"/>
          <w:color w:val="000000"/>
          <w:sz w:val="28"/>
          <w:szCs w:val="28"/>
        </w:rPr>
        <w:t>万元</w:t>
      </w:r>
      <w:r>
        <w:rPr>
          <w:rFonts w:hint="eastAsia" w:ascii="楷体" w:hAnsi="楷体" w:eastAsia="楷体" w:cs="楷体"/>
          <w:color w:val="000000"/>
          <w:sz w:val="28"/>
          <w:szCs w:val="28"/>
          <w:lang w:val="en-US" w:eastAsia="zh-CN"/>
        </w:rPr>
        <w:t>,</w:t>
      </w:r>
      <w:r>
        <w:rPr>
          <w:rFonts w:hint="eastAsia" w:ascii="楷体" w:hAnsi="楷体" w:eastAsia="楷体" w:cs="楷体"/>
          <w:color w:val="000000"/>
          <w:sz w:val="28"/>
          <w:szCs w:val="28"/>
          <w:lang w:eastAsia="zh-CN"/>
        </w:rPr>
        <w:t>相比上年</w:t>
      </w:r>
      <w:r>
        <w:rPr>
          <w:rFonts w:hint="eastAsia" w:ascii="楷体" w:hAnsi="楷体" w:eastAsia="楷体" w:cs="楷体"/>
          <w:color w:val="000000"/>
          <w:sz w:val="28"/>
          <w:szCs w:val="28"/>
          <w:lang w:val="en-US" w:eastAsia="zh-CN"/>
        </w:rPr>
        <w:t>调整预算总收入增加499.32万元，增幅20.8%</w:t>
      </w:r>
      <w:r>
        <w:rPr>
          <w:rFonts w:hint="eastAsia" w:ascii="楷体" w:hAnsi="楷体" w:eastAsia="楷体" w:cs="楷体"/>
          <w:color w:val="000000"/>
          <w:sz w:val="28"/>
          <w:szCs w:val="28"/>
        </w:rPr>
        <w:t>。总支出</w:t>
      </w:r>
      <w:r>
        <w:rPr>
          <w:rFonts w:hint="eastAsia" w:ascii="楷体" w:hAnsi="楷体" w:eastAsia="楷体" w:cs="楷体"/>
          <w:color w:val="000000"/>
          <w:sz w:val="28"/>
          <w:szCs w:val="28"/>
          <w:lang w:val="en-US" w:eastAsia="zh-CN"/>
        </w:rPr>
        <w:t>2323.75</w:t>
      </w:r>
      <w:r>
        <w:rPr>
          <w:rFonts w:hint="eastAsia" w:ascii="楷体" w:hAnsi="楷体" w:eastAsia="楷体" w:cs="楷体"/>
          <w:color w:val="000000"/>
          <w:sz w:val="28"/>
          <w:szCs w:val="28"/>
        </w:rPr>
        <w:t>万元</w:t>
      </w:r>
      <w:r>
        <w:rPr>
          <w:rFonts w:hint="eastAsia" w:ascii="楷体" w:hAnsi="楷体" w:eastAsia="楷体" w:cs="楷体"/>
          <w:color w:val="000000"/>
          <w:sz w:val="28"/>
          <w:szCs w:val="28"/>
          <w:lang w:eastAsia="zh-CN"/>
        </w:rPr>
        <w:t>，相比上年支出增加</w:t>
      </w:r>
      <w:r>
        <w:rPr>
          <w:rFonts w:hint="eastAsia" w:ascii="楷体" w:hAnsi="楷体" w:eastAsia="楷体" w:cs="楷体"/>
          <w:color w:val="000000"/>
          <w:sz w:val="28"/>
          <w:szCs w:val="28"/>
          <w:lang w:val="en-US" w:eastAsia="zh-CN"/>
        </w:rPr>
        <w:t>431.69万元，增幅18.58%。增幅原因是因为单位组建，人员工资、代发原工商59名退休人员工资、单位运行经费及2020年疫情防控、国卫复审等各项专项工作开支。</w:t>
      </w:r>
    </w:p>
    <w:p>
      <w:pPr>
        <w:snapToGrid w:val="0"/>
        <w:spacing w:line="240" w:lineRule="auto"/>
        <w:ind w:firstLine="560" w:firstLineChars="200"/>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drawing>
          <wp:inline distT="0" distB="0" distL="114300" distR="114300">
            <wp:extent cx="4686935" cy="2908935"/>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rcRect t="66" r="-2245"/>
                    <a:stretch>
                      <a:fillRect/>
                    </a:stretch>
                  </pic:blipFill>
                  <pic:spPr>
                    <a:xfrm>
                      <a:off x="0" y="0"/>
                      <a:ext cx="4686935" cy="2908935"/>
                    </a:xfrm>
                    <a:prstGeom prst="rect">
                      <a:avLst/>
                    </a:prstGeom>
                    <a:noFill/>
                    <a:ln>
                      <a:noFill/>
                    </a:ln>
                  </pic:spPr>
                </pic:pic>
              </a:graphicData>
            </a:graphic>
          </wp:inline>
        </w:drawing>
      </w:r>
    </w:p>
    <w:p>
      <w:pPr>
        <w:snapToGrid w:val="0"/>
        <w:spacing w:line="520" w:lineRule="exact"/>
        <w:ind w:firstLine="562" w:firstLineChars="200"/>
        <w:rPr>
          <w:rFonts w:hint="eastAsia" w:ascii="楷体" w:hAnsi="楷体" w:eastAsia="楷体" w:cs="楷体"/>
          <w:b/>
          <w:sz w:val="28"/>
          <w:szCs w:val="28"/>
        </w:rPr>
      </w:pPr>
      <w:r>
        <w:rPr>
          <w:rFonts w:hint="eastAsia" w:ascii="楷体" w:hAnsi="楷体" w:eastAsia="楷体" w:cs="楷体"/>
          <w:b/>
          <w:sz w:val="28"/>
          <w:szCs w:val="28"/>
        </w:rPr>
        <w:t>（二）收入支出预算执行情况。</w:t>
      </w:r>
    </w:p>
    <w:p>
      <w:pPr>
        <w:pStyle w:val="3"/>
        <w:shd w:val="clear" w:color="auto" w:fill="FFFFFF"/>
        <w:spacing w:before="0" w:beforeAutospacing="0" w:after="0" w:afterAutospacing="0" w:line="500" w:lineRule="exact"/>
        <w:ind w:firstLine="560" w:firstLineChars="200"/>
        <w:jc w:val="both"/>
        <w:rPr>
          <w:rFonts w:ascii="楷体" w:hAnsi="楷体" w:eastAsia="楷体" w:cs="楷体"/>
          <w:color w:val="000000"/>
          <w:sz w:val="28"/>
          <w:szCs w:val="28"/>
        </w:rPr>
      </w:pPr>
      <w:r>
        <w:rPr>
          <w:rFonts w:ascii="楷体" w:hAnsi="楷体" w:eastAsia="楷体" w:cs="楷体"/>
          <w:color w:val="000000"/>
          <w:sz w:val="28"/>
          <w:szCs w:val="28"/>
        </w:rPr>
        <w:t>收入决算情况20</w:t>
      </w:r>
      <w:r>
        <w:rPr>
          <w:rFonts w:hint="eastAsia" w:ascii="楷体" w:hAnsi="楷体" w:eastAsia="楷体" w:cs="楷体"/>
          <w:color w:val="000000"/>
          <w:sz w:val="28"/>
          <w:szCs w:val="28"/>
          <w:lang w:val="en-US" w:eastAsia="zh-CN"/>
        </w:rPr>
        <w:t>20</w:t>
      </w:r>
      <w:r>
        <w:rPr>
          <w:rFonts w:ascii="楷体" w:hAnsi="楷体" w:eastAsia="楷体" w:cs="楷体"/>
          <w:color w:val="000000"/>
          <w:sz w:val="28"/>
          <w:szCs w:val="28"/>
        </w:rPr>
        <w:t>年收入</w:t>
      </w:r>
      <w:r>
        <w:rPr>
          <w:rFonts w:hint="eastAsia" w:ascii="楷体" w:hAnsi="楷体" w:eastAsia="楷体" w:cs="楷体"/>
          <w:color w:val="000000"/>
          <w:sz w:val="28"/>
          <w:szCs w:val="28"/>
          <w:lang w:val="en-US" w:eastAsia="zh-CN"/>
        </w:rPr>
        <w:t>2400.63</w:t>
      </w:r>
      <w:r>
        <w:rPr>
          <w:rFonts w:ascii="楷体" w:hAnsi="楷体" w:eastAsia="楷体" w:cs="楷体"/>
          <w:color w:val="000000"/>
          <w:sz w:val="28"/>
          <w:szCs w:val="28"/>
        </w:rPr>
        <w:t>万元，其中：一般公共预算拨款收入</w:t>
      </w:r>
      <w:r>
        <w:rPr>
          <w:rFonts w:hint="eastAsia" w:ascii="楷体" w:hAnsi="楷体" w:eastAsia="楷体" w:cs="楷体"/>
          <w:color w:val="000000"/>
          <w:sz w:val="28"/>
          <w:szCs w:val="28"/>
          <w:lang w:val="en-US" w:eastAsia="zh-CN"/>
        </w:rPr>
        <w:t>2101.21</w:t>
      </w:r>
      <w:r>
        <w:rPr>
          <w:rFonts w:ascii="楷体" w:hAnsi="楷体" w:eastAsia="楷体" w:cs="楷体"/>
          <w:color w:val="000000"/>
          <w:sz w:val="28"/>
          <w:szCs w:val="28"/>
        </w:rPr>
        <w:t>万元</w:t>
      </w:r>
      <w:r>
        <w:rPr>
          <w:rFonts w:hint="eastAsia" w:ascii="楷体" w:hAnsi="楷体" w:eastAsia="楷体" w:cs="楷体"/>
          <w:color w:val="000000"/>
          <w:sz w:val="28"/>
          <w:szCs w:val="28"/>
          <w:lang w:eastAsia="zh-CN"/>
        </w:rPr>
        <w:t>，上年结转结余</w:t>
      </w:r>
      <w:r>
        <w:rPr>
          <w:rFonts w:hint="eastAsia" w:ascii="楷体" w:hAnsi="楷体" w:eastAsia="楷体" w:cs="楷体"/>
          <w:color w:val="000000"/>
          <w:sz w:val="28"/>
          <w:szCs w:val="28"/>
          <w:lang w:val="en-US" w:eastAsia="zh-CN"/>
        </w:rPr>
        <w:t>9.26万元，</w:t>
      </w:r>
      <w:r>
        <w:rPr>
          <w:rFonts w:ascii="楷体" w:hAnsi="楷体" w:eastAsia="楷体" w:cs="楷体"/>
          <w:color w:val="000000"/>
          <w:sz w:val="28"/>
          <w:szCs w:val="28"/>
        </w:rPr>
        <w:t>其他收</w:t>
      </w:r>
      <w:r>
        <w:rPr>
          <w:rFonts w:hint="eastAsia" w:ascii="楷体" w:hAnsi="楷体" w:eastAsia="楷体" w:cs="楷体"/>
          <w:color w:val="000000"/>
          <w:sz w:val="28"/>
          <w:szCs w:val="28"/>
          <w:lang w:eastAsia="zh-CN"/>
        </w:rPr>
        <w:t>入</w:t>
      </w:r>
      <w:r>
        <w:rPr>
          <w:rFonts w:hint="eastAsia" w:ascii="楷体" w:hAnsi="楷体" w:eastAsia="楷体" w:cs="楷体"/>
          <w:color w:val="000000"/>
          <w:sz w:val="28"/>
          <w:szCs w:val="28"/>
          <w:lang w:val="en-US" w:eastAsia="zh-CN"/>
        </w:rPr>
        <w:t>290.16</w:t>
      </w:r>
      <w:r>
        <w:rPr>
          <w:rFonts w:ascii="楷体" w:hAnsi="楷体" w:eastAsia="楷体" w:cs="楷体"/>
          <w:color w:val="000000"/>
          <w:sz w:val="28"/>
          <w:szCs w:val="28"/>
        </w:rPr>
        <w:t>万元。总支出</w:t>
      </w:r>
      <w:r>
        <w:rPr>
          <w:rFonts w:hint="eastAsia" w:ascii="楷体" w:hAnsi="楷体" w:eastAsia="楷体" w:cs="楷体"/>
          <w:color w:val="000000"/>
          <w:sz w:val="28"/>
          <w:szCs w:val="28"/>
          <w:lang w:val="en-US" w:eastAsia="zh-CN"/>
        </w:rPr>
        <w:t>2323.75</w:t>
      </w:r>
      <w:r>
        <w:rPr>
          <w:rFonts w:ascii="楷体" w:hAnsi="楷体" w:eastAsia="楷体" w:cs="楷体"/>
          <w:color w:val="000000"/>
          <w:sz w:val="28"/>
          <w:szCs w:val="28"/>
        </w:rPr>
        <w:t>万元。</w:t>
      </w:r>
    </w:p>
    <w:p>
      <w:pPr>
        <w:snapToGrid w:val="0"/>
        <w:spacing w:line="500" w:lineRule="exact"/>
        <w:ind w:firstLine="562" w:firstLineChars="200"/>
        <w:rPr>
          <w:rFonts w:hint="eastAsia" w:ascii="楷体" w:hAnsi="楷体" w:eastAsia="楷体" w:cs="楷体"/>
          <w:b/>
          <w:sz w:val="28"/>
          <w:szCs w:val="28"/>
        </w:rPr>
      </w:pPr>
      <w:r>
        <w:rPr>
          <w:rFonts w:hint="eastAsia" w:ascii="楷体" w:hAnsi="楷体" w:eastAsia="楷体" w:cs="楷体"/>
          <w:b/>
          <w:sz w:val="28"/>
          <w:szCs w:val="28"/>
        </w:rPr>
        <w:t>1．收入支出与预算对比分析。</w:t>
      </w:r>
    </w:p>
    <w:p>
      <w:pPr>
        <w:snapToGrid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（1）预、决算差异情况。</w:t>
      </w:r>
    </w:p>
    <w:p>
      <w:pPr>
        <w:snapToGrid w:val="0"/>
        <w:spacing w:line="240" w:lineRule="auto"/>
        <w:ind w:firstLine="420" w:firstLineChars="200"/>
        <w:rPr>
          <w:rFonts w:hint="eastAsia" w:ascii="楷体" w:hAnsi="楷体" w:eastAsia="楷体" w:cs="楷体"/>
          <w:sz w:val="28"/>
          <w:szCs w:val="28"/>
        </w:rPr>
      </w:pPr>
      <w:r>
        <w:drawing>
          <wp:anchor distT="0" distB="0" distL="114300" distR="114300" simplePos="0" relativeHeight="251659264" behindDoc="0" locked="0" layoutInCell="1" allowOverlap="1">
            <wp:simplePos x="0" y="0"/>
            <wp:positionH relativeFrom="column">
              <wp:posOffset>-390525</wp:posOffset>
            </wp:positionH>
            <wp:positionV relativeFrom="paragraph">
              <wp:posOffset>240665</wp:posOffset>
            </wp:positionV>
            <wp:extent cx="6259195" cy="3145790"/>
            <wp:effectExtent l="0" t="0" r="8255" b="1651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6259195" cy="3145790"/>
                    </a:xfrm>
                    <a:prstGeom prst="rect">
                      <a:avLst/>
                    </a:prstGeom>
                    <a:noFill/>
                    <a:ln>
                      <a:noFill/>
                    </a:ln>
                  </pic:spPr>
                </pic:pic>
              </a:graphicData>
            </a:graphic>
          </wp:anchor>
        </w:drawing>
      </w:r>
    </w:p>
    <w:p>
      <w:pPr>
        <w:snapToGrid w:val="0"/>
        <w:spacing w:line="240" w:lineRule="auto"/>
        <w:ind w:firstLine="420" w:firstLineChars="200"/>
        <w:rPr>
          <w:rFonts w:hint="eastAsia" w:ascii="楷体" w:hAnsi="楷体" w:eastAsia="楷体" w:cs="楷体"/>
          <w:sz w:val="28"/>
          <w:szCs w:val="28"/>
          <w:lang w:eastAsia="zh-CN"/>
        </w:rPr>
      </w:pPr>
      <w:r>
        <w:drawing>
          <wp:anchor distT="0" distB="0" distL="114300" distR="114300" simplePos="0" relativeHeight="251660288" behindDoc="0" locked="0" layoutInCell="1" allowOverlap="1">
            <wp:simplePos x="0" y="0"/>
            <wp:positionH relativeFrom="column">
              <wp:posOffset>-104775</wp:posOffset>
            </wp:positionH>
            <wp:positionV relativeFrom="paragraph">
              <wp:posOffset>195580</wp:posOffset>
            </wp:positionV>
            <wp:extent cx="5639435" cy="1488440"/>
            <wp:effectExtent l="0" t="0" r="18415" b="16510"/>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639435" cy="1488440"/>
                    </a:xfrm>
                    <a:prstGeom prst="rect">
                      <a:avLst/>
                    </a:prstGeom>
                    <a:noFill/>
                    <a:ln>
                      <a:noFill/>
                    </a:ln>
                  </pic:spPr>
                </pic:pic>
              </a:graphicData>
            </a:graphic>
          </wp:anchor>
        </w:drawing>
      </w:r>
    </w:p>
    <w:p>
      <w:pPr>
        <w:snapToGrid w:val="0"/>
        <w:spacing w:line="500" w:lineRule="exact"/>
        <w:ind w:firstLine="562" w:firstLineChars="200"/>
        <w:rPr>
          <w:rFonts w:hint="eastAsia" w:ascii="楷体" w:hAnsi="楷体" w:eastAsia="楷体" w:cs="楷体"/>
          <w:b/>
          <w:sz w:val="28"/>
          <w:szCs w:val="28"/>
        </w:rPr>
      </w:pPr>
      <w:r>
        <w:rPr>
          <w:rFonts w:hint="eastAsia" w:ascii="楷体" w:hAnsi="楷体" w:eastAsia="楷体" w:cs="楷体"/>
          <w:b/>
          <w:sz w:val="28"/>
          <w:szCs w:val="28"/>
        </w:rPr>
        <w:t>2．收入支出结构分析。</w:t>
      </w:r>
    </w:p>
    <w:p>
      <w:pPr>
        <w:snapToGrid w:val="0"/>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各项收入占总收入的比重，各项支出占总支出的比重</w:t>
      </w:r>
    </w:p>
    <w:tbl>
      <w:tblPr>
        <w:tblStyle w:val="4"/>
        <w:tblW w:w="4950" w:type="pct"/>
        <w:tblInd w:w="0" w:type="dxa"/>
        <w:tblLayout w:type="autofit"/>
        <w:tblCellMar>
          <w:top w:w="0" w:type="dxa"/>
          <w:left w:w="108" w:type="dxa"/>
          <w:bottom w:w="0" w:type="dxa"/>
          <w:right w:w="108" w:type="dxa"/>
        </w:tblCellMar>
      </w:tblPr>
      <w:tblGrid>
        <w:gridCol w:w="2602"/>
        <w:gridCol w:w="2800"/>
        <w:gridCol w:w="3035"/>
      </w:tblGrid>
      <w:tr>
        <w:tblPrEx>
          <w:tblCellMar>
            <w:top w:w="0" w:type="dxa"/>
            <w:left w:w="108" w:type="dxa"/>
            <w:bottom w:w="0" w:type="dxa"/>
            <w:right w:w="108" w:type="dxa"/>
          </w:tblCellMar>
        </w:tblPrEx>
        <w:trPr>
          <w:trHeight w:val="502" w:hRule="atLeast"/>
        </w:trPr>
        <w:tc>
          <w:tcPr>
            <w:tcW w:w="1542" w:type="pct"/>
            <w:tcBorders>
              <w:top w:val="single" w:color="auto" w:sz="4" w:space="0"/>
              <w:left w:val="single" w:color="auto" w:sz="4" w:space="0"/>
              <w:bottom w:val="single" w:color="auto" w:sz="4" w:space="0"/>
              <w:right w:val="single" w:color="auto" w:sz="4" w:space="0"/>
            </w:tcBorders>
            <w:noWrap/>
            <w:vAlign w:val="center"/>
          </w:tcPr>
          <w:p>
            <w:pPr>
              <w:widowControl/>
              <w:tabs>
                <w:tab w:val="left" w:pos="1260"/>
              </w:tabs>
              <w:spacing w:line="52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名称</w:t>
            </w:r>
          </w:p>
        </w:tc>
        <w:tc>
          <w:tcPr>
            <w:tcW w:w="1659" w:type="pct"/>
            <w:tcBorders>
              <w:top w:val="single" w:color="auto" w:sz="4" w:space="0"/>
              <w:left w:val="nil"/>
              <w:bottom w:val="single" w:color="auto" w:sz="4" w:space="0"/>
              <w:right w:val="single" w:color="auto" w:sz="4" w:space="0"/>
            </w:tcBorders>
            <w:noWrap/>
            <w:vAlign w:val="center"/>
          </w:tcPr>
          <w:p>
            <w:pPr>
              <w:widowControl/>
              <w:tabs>
                <w:tab w:val="left" w:pos="1260"/>
              </w:tabs>
              <w:spacing w:line="52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收入数（万元）</w:t>
            </w:r>
          </w:p>
        </w:tc>
        <w:tc>
          <w:tcPr>
            <w:tcW w:w="1798" w:type="pct"/>
            <w:tcBorders>
              <w:top w:val="single" w:color="auto" w:sz="4" w:space="0"/>
              <w:left w:val="nil"/>
              <w:bottom w:val="single" w:color="auto" w:sz="4" w:space="0"/>
              <w:right w:val="single" w:color="auto" w:sz="4" w:space="0"/>
            </w:tcBorders>
            <w:noWrap/>
            <w:vAlign w:val="center"/>
          </w:tcPr>
          <w:p>
            <w:pPr>
              <w:widowControl/>
              <w:tabs>
                <w:tab w:val="left" w:pos="1260"/>
              </w:tabs>
              <w:spacing w:line="52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占总收入比重</w:t>
            </w:r>
          </w:p>
        </w:tc>
      </w:tr>
      <w:tr>
        <w:tblPrEx>
          <w:tblCellMar>
            <w:top w:w="0" w:type="dxa"/>
            <w:left w:w="108" w:type="dxa"/>
            <w:bottom w:w="0" w:type="dxa"/>
            <w:right w:w="108" w:type="dxa"/>
          </w:tblCellMar>
        </w:tblPrEx>
        <w:trPr>
          <w:trHeight w:val="160" w:hRule="atLeast"/>
        </w:trPr>
        <w:tc>
          <w:tcPr>
            <w:tcW w:w="1542" w:type="pct"/>
            <w:tcBorders>
              <w:top w:val="nil"/>
              <w:left w:val="single" w:color="auto" w:sz="4" w:space="0"/>
              <w:bottom w:val="single" w:color="auto" w:sz="4" w:space="0"/>
              <w:right w:val="single" w:color="auto" w:sz="4" w:space="0"/>
            </w:tcBorders>
            <w:noWrap/>
            <w:vAlign w:val="center"/>
          </w:tcPr>
          <w:p>
            <w:pPr>
              <w:widowControl/>
              <w:tabs>
                <w:tab w:val="left" w:pos="1260"/>
              </w:tabs>
              <w:spacing w:line="52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财政拨款收入</w:t>
            </w:r>
          </w:p>
        </w:tc>
        <w:tc>
          <w:tcPr>
            <w:tcW w:w="1659" w:type="pct"/>
            <w:tcBorders>
              <w:top w:val="nil"/>
              <w:left w:val="nil"/>
              <w:bottom w:val="single" w:color="auto" w:sz="4" w:space="0"/>
              <w:right w:val="single" w:color="auto" w:sz="4" w:space="0"/>
            </w:tcBorders>
            <w:noWrap/>
            <w:vAlign w:val="center"/>
          </w:tcPr>
          <w:p>
            <w:pPr>
              <w:widowControl/>
              <w:tabs>
                <w:tab w:val="left" w:pos="1260"/>
              </w:tabs>
              <w:spacing w:line="520" w:lineRule="exact"/>
              <w:jc w:val="right"/>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2101.21</w:t>
            </w:r>
          </w:p>
        </w:tc>
        <w:tc>
          <w:tcPr>
            <w:tcW w:w="1798" w:type="pct"/>
            <w:tcBorders>
              <w:top w:val="nil"/>
              <w:left w:val="nil"/>
              <w:bottom w:val="single" w:color="auto" w:sz="4" w:space="0"/>
              <w:right w:val="single" w:color="auto" w:sz="4" w:space="0"/>
            </w:tcBorders>
            <w:noWrap/>
            <w:vAlign w:val="center"/>
          </w:tcPr>
          <w:p>
            <w:pPr>
              <w:widowControl/>
              <w:tabs>
                <w:tab w:val="left" w:pos="1260"/>
              </w:tabs>
              <w:spacing w:line="520" w:lineRule="exact"/>
              <w:jc w:val="righ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87.53</w:t>
            </w:r>
            <w:r>
              <w:rPr>
                <w:rFonts w:hint="eastAsia" w:ascii="楷体" w:hAnsi="楷体" w:eastAsia="楷体" w:cs="楷体"/>
                <w:kern w:val="0"/>
                <w:sz w:val="28"/>
                <w:szCs w:val="28"/>
              </w:rPr>
              <w:t>%</w:t>
            </w:r>
          </w:p>
        </w:tc>
      </w:tr>
      <w:tr>
        <w:tblPrEx>
          <w:tblCellMar>
            <w:top w:w="0" w:type="dxa"/>
            <w:left w:w="108" w:type="dxa"/>
            <w:bottom w:w="0" w:type="dxa"/>
            <w:right w:w="108" w:type="dxa"/>
          </w:tblCellMar>
        </w:tblPrEx>
        <w:trPr>
          <w:trHeight w:val="502" w:hRule="atLeast"/>
        </w:trPr>
        <w:tc>
          <w:tcPr>
            <w:tcW w:w="1542" w:type="pct"/>
            <w:tcBorders>
              <w:top w:val="nil"/>
              <w:left w:val="single" w:color="auto" w:sz="4" w:space="0"/>
              <w:bottom w:val="single" w:color="auto" w:sz="4" w:space="0"/>
              <w:right w:val="single" w:color="auto" w:sz="4" w:space="0"/>
            </w:tcBorders>
            <w:noWrap/>
            <w:vAlign w:val="center"/>
          </w:tcPr>
          <w:p>
            <w:pPr>
              <w:widowControl/>
              <w:tabs>
                <w:tab w:val="left" w:pos="1260"/>
              </w:tabs>
              <w:spacing w:line="52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其他</w:t>
            </w:r>
          </w:p>
        </w:tc>
        <w:tc>
          <w:tcPr>
            <w:tcW w:w="1659" w:type="pct"/>
            <w:tcBorders>
              <w:top w:val="nil"/>
              <w:left w:val="nil"/>
              <w:bottom w:val="single" w:color="auto" w:sz="4" w:space="0"/>
              <w:right w:val="single" w:color="auto" w:sz="4" w:space="0"/>
            </w:tcBorders>
            <w:noWrap/>
            <w:vAlign w:val="center"/>
          </w:tcPr>
          <w:p>
            <w:pPr>
              <w:widowControl/>
              <w:tabs>
                <w:tab w:val="left" w:pos="1260"/>
              </w:tabs>
              <w:spacing w:line="520" w:lineRule="exact"/>
              <w:jc w:val="right"/>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290.16</w:t>
            </w:r>
          </w:p>
        </w:tc>
        <w:tc>
          <w:tcPr>
            <w:tcW w:w="1798" w:type="pct"/>
            <w:tcBorders>
              <w:top w:val="nil"/>
              <w:left w:val="nil"/>
              <w:bottom w:val="single" w:color="auto" w:sz="4" w:space="0"/>
              <w:right w:val="single" w:color="auto" w:sz="4" w:space="0"/>
            </w:tcBorders>
            <w:noWrap/>
            <w:vAlign w:val="center"/>
          </w:tcPr>
          <w:p>
            <w:pPr>
              <w:widowControl/>
              <w:tabs>
                <w:tab w:val="left" w:pos="1260"/>
              </w:tabs>
              <w:spacing w:line="520" w:lineRule="exact"/>
              <w:jc w:val="righ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12.08</w:t>
            </w:r>
            <w:r>
              <w:rPr>
                <w:rFonts w:hint="eastAsia" w:ascii="楷体" w:hAnsi="楷体" w:eastAsia="楷体" w:cs="楷体"/>
                <w:kern w:val="0"/>
                <w:sz w:val="28"/>
                <w:szCs w:val="28"/>
              </w:rPr>
              <w:t>%</w:t>
            </w:r>
          </w:p>
        </w:tc>
      </w:tr>
      <w:tr>
        <w:tblPrEx>
          <w:tblCellMar>
            <w:top w:w="0" w:type="dxa"/>
            <w:left w:w="108" w:type="dxa"/>
            <w:bottom w:w="0" w:type="dxa"/>
            <w:right w:w="108" w:type="dxa"/>
          </w:tblCellMar>
        </w:tblPrEx>
        <w:trPr>
          <w:trHeight w:val="502" w:hRule="atLeast"/>
        </w:trPr>
        <w:tc>
          <w:tcPr>
            <w:tcW w:w="1542" w:type="pct"/>
            <w:tcBorders>
              <w:top w:val="nil"/>
              <w:left w:val="single" w:color="auto" w:sz="4" w:space="0"/>
              <w:bottom w:val="single" w:color="auto" w:sz="4" w:space="0"/>
              <w:right w:val="single" w:color="auto" w:sz="4" w:space="0"/>
            </w:tcBorders>
            <w:noWrap/>
            <w:vAlign w:val="center"/>
          </w:tcPr>
          <w:p>
            <w:pPr>
              <w:widowControl/>
              <w:tabs>
                <w:tab w:val="left" w:pos="1260"/>
              </w:tabs>
              <w:spacing w:line="52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上年结转结余</w:t>
            </w:r>
          </w:p>
        </w:tc>
        <w:tc>
          <w:tcPr>
            <w:tcW w:w="1659" w:type="pct"/>
            <w:tcBorders>
              <w:top w:val="nil"/>
              <w:left w:val="nil"/>
              <w:bottom w:val="single" w:color="auto" w:sz="4" w:space="0"/>
              <w:right w:val="single" w:color="auto" w:sz="4" w:space="0"/>
            </w:tcBorders>
            <w:noWrap/>
            <w:vAlign w:val="center"/>
          </w:tcPr>
          <w:p>
            <w:pPr>
              <w:widowControl/>
              <w:tabs>
                <w:tab w:val="left" w:pos="1260"/>
              </w:tabs>
              <w:spacing w:line="520" w:lineRule="exact"/>
              <w:jc w:val="right"/>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9.26</w:t>
            </w:r>
          </w:p>
        </w:tc>
        <w:tc>
          <w:tcPr>
            <w:tcW w:w="1798" w:type="pct"/>
            <w:tcBorders>
              <w:top w:val="nil"/>
              <w:left w:val="nil"/>
              <w:bottom w:val="single" w:color="auto" w:sz="4" w:space="0"/>
              <w:right w:val="single" w:color="auto" w:sz="4" w:space="0"/>
            </w:tcBorders>
            <w:noWrap/>
            <w:vAlign w:val="center"/>
          </w:tcPr>
          <w:p>
            <w:pPr>
              <w:widowControl/>
              <w:tabs>
                <w:tab w:val="left" w:pos="1260"/>
              </w:tabs>
              <w:spacing w:line="520" w:lineRule="exact"/>
              <w:jc w:val="righ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0.39</w:t>
            </w:r>
            <w:r>
              <w:rPr>
                <w:rFonts w:hint="eastAsia" w:ascii="楷体" w:hAnsi="楷体" w:eastAsia="楷体" w:cs="楷体"/>
                <w:kern w:val="0"/>
                <w:sz w:val="28"/>
                <w:szCs w:val="28"/>
              </w:rPr>
              <w:t>%</w:t>
            </w:r>
          </w:p>
        </w:tc>
      </w:tr>
      <w:tr>
        <w:tblPrEx>
          <w:tblCellMar>
            <w:top w:w="0" w:type="dxa"/>
            <w:left w:w="108" w:type="dxa"/>
            <w:bottom w:w="0" w:type="dxa"/>
            <w:right w:w="108" w:type="dxa"/>
          </w:tblCellMar>
        </w:tblPrEx>
        <w:trPr>
          <w:trHeight w:val="509" w:hRule="atLeast"/>
        </w:trPr>
        <w:tc>
          <w:tcPr>
            <w:tcW w:w="1542" w:type="pct"/>
            <w:tcBorders>
              <w:top w:val="nil"/>
              <w:left w:val="single" w:color="auto" w:sz="4" w:space="0"/>
              <w:bottom w:val="single" w:color="auto" w:sz="4" w:space="0"/>
              <w:right w:val="single" w:color="auto" w:sz="4" w:space="0"/>
            </w:tcBorders>
            <w:noWrap/>
            <w:vAlign w:val="center"/>
          </w:tcPr>
          <w:p>
            <w:pPr>
              <w:widowControl/>
              <w:tabs>
                <w:tab w:val="left" w:pos="1260"/>
              </w:tabs>
              <w:spacing w:line="52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总计</w:t>
            </w:r>
          </w:p>
        </w:tc>
        <w:tc>
          <w:tcPr>
            <w:tcW w:w="1659" w:type="pct"/>
            <w:tcBorders>
              <w:top w:val="nil"/>
              <w:left w:val="nil"/>
              <w:bottom w:val="single" w:color="auto" w:sz="4" w:space="0"/>
              <w:right w:val="single" w:color="auto" w:sz="4" w:space="0"/>
            </w:tcBorders>
            <w:noWrap/>
            <w:vAlign w:val="center"/>
          </w:tcPr>
          <w:p>
            <w:pPr>
              <w:widowControl/>
              <w:tabs>
                <w:tab w:val="left" w:pos="1260"/>
              </w:tabs>
              <w:spacing w:line="520" w:lineRule="exact"/>
              <w:jc w:val="right"/>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2400.63</w:t>
            </w:r>
          </w:p>
        </w:tc>
        <w:tc>
          <w:tcPr>
            <w:tcW w:w="1798" w:type="pct"/>
            <w:tcBorders>
              <w:top w:val="nil"/>
              <w:left w:val="nil"/>
              <w:bottom w:val="single" w:color="auto" w:sz="4" w:space="0"/>
              <w:right w:val="single" w:color="auto" w:sz="4" w:space="0"/>
            </w:tcBorders>
            <w:noWrap/>
            <w:vAlign w:val="center"/>
          </w:tcPr>
          <w:p>
            <w:pPr>
              <w:widowControl/>
              <w:tabs>
                <w:tab w:val="left" w:pos="1260"/>
              </w:tabs>
              <w:spacing w:line="52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bl>
    <w:p>
      <w:pPr>
        <w:tabs>
          <w:tab w:val="left" w:pos="1260"/>
        </w:tabs>
        <w:snapToGrid w:val="0"/>
        <w:ind w:firstLine="420" w:firstLineChars="200"/>
      </w:pPr>
    </w:p>
    <w:p>
      <w:pPr>
        <w:tabs>
          <w:tab w:val="left" w:pos="1260"/>
        </w:tabs>
        <w:snapToGrid w:val="0"/>
      </w:pPr>
    </w:p>
    <w:p>
      <w:pPr>
        <w:tabs>
          <w:tab w:val="left" w:pos="1260"/>
        </w:tabs>
        <w:snapToGrid w:val="0"/>
        <w:ind w:firstLine="420" w:firstLineChars="200"/>
      </w:pPr>
    </w:p>
    <w:p>
      <w:pPr>
        <w:tabs>
          <w:tab w:val="left" w:pos="1260"/>
        </w:tabs>
        <w:snapToGrid w:val="0"/>
        <w:ind w:firstLine="420" w:firstLineChars="200"/>
      </w:pPr>
    </w:p>
    <w:p>
      <w:pPr>
        <w:tabs>
          <w:tab w:val="left" w:pos="1260"/>
        </w:tabs>
        <w:snapToGrid w:val="0"/>
        <w:ind w:firstLine="420" w:firstLineChars="200"/>
      </w:pPr>
      <w:r>
        <w:drawing>
          <wp:inline distT="0" distB="0" distL="114300" distR="114300">
            <wp:extent cx="4100830" cy="3161665"/>
            <wp:effectExtent l="4445" t="4445" r="9525" b="1524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1260"/>
        </w:tabs>
        <w:snapToGrid w:val="0"/>
      </w:pPr>
    </w:p>
    <w:p>
      <w:pPr>
        <w:tabs>
          <w:tab w:val="left" w:pos="1260"/>
        </w:tabs>
        <w:snapToGrid w:val="0"/>
        <w:ind w:firstLine="420" w:firstLineChars="200"/>
        <w:rPr>
          <w:rFonts w:hint="eastAsia"/>
        </w:rPr>
      </w:pPr>
    </w:p>
    <w:tbl>
      <w:tblPr>
        <w:tblStyle w:val="4"/>
        <w:tblpPr w:leftFromText="180" w:rightFromText="180" w:vertAnchor="text" w:horzAnchor="page" w:tblpX="1736" w:tblpY="470"/>
        <w:tblW w:w="8463" w:type="dxa"/>
        <w:tblInd w:w="0" w:type="dxa"/>
        <w:tblLayout w:type="autofit"/>
        <w:tblCellMar>
          <w:top w:w="0" w:type="dxa"/>
          <w:left w:w="108" w:type="dxa"/>
          <w:bottom w:w="0" w:type="dxa"/>
          <w:right w:w="108" w:type="dxa"/>
        </w:tblCellMar>
      </w:tblPr>
      <w:tblGrid>
        <w:gridCol w:w="3031"/>
        <w:gridCol w:w="2668"/>
        <w:gridCol w:w="2764"/>
      </w:tblGrid>
      <w:tr>
        <w:tblPrEx>
          <w:tblCellMar>
            <w:top w:w="0" w:type="dxa"/>
            <w:left w:w="108" w:type="dxa"/>
            <w:bottom w:w="0" w:type="dxa"/>
            <w:right w:w="108" w:type="dxa"/>
          </w:tblCellMar>
        </w:tblPrEx>
        <w:trPr>
          <w:trHeight w:val="371" w:hRule="atLeast"/>
        </w:trPr>
        <w:tc>
          <w:tcPr>
            <w:tcW w:w="30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名称</w:t>
            </w:r>
          </w:p>
        </w:tc>
        <w:tc>
          <w:tcPr>
            <w:tcW w:w="2668"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决算支出数（万元）</w:t>
            </w:r>
          </w:p>
        </w:tc>
        <w:tc>
          <w:tcPr>
            <w:tcW w:w="2764"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占总支出比重</w:t>
            </w:r>
          </w:p>
        </w:tc>
      </w:tr>
      <w:tr>
        <w:tblPrEx>
          <w:tblCellMar>
            <w:top w:w="0" w:type="dxa"/>
            <w:left w:w="108" w:type="dxa"/>
            <w:bottom w:w="0" w:type="dxa"/>
            <w:right w:w="108" w:type="dxa"/>
          </w:tblCellMar>
        </w:tblPrEx>
        <w:trPr>
          <w:trHeight w:val="371" w:hRule="atLeast"/>
        </w:trPr>
        <w:tc>
          <w:tcPr>
            <w:tcW w:w="3031"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工资福利支出</w:t>
            </w:r>
          </w:p>
        </w:tc>
        <w:tc>
          <w:tcPr>
            <w:tcW w:w="2668" w:type="dxa"/>
            <w:tcBorders>
              <w:top w:val="nil"/>
              <w:left w:val="nil"/>
              <w:bottom w:val="single" w:color="auto" w:sz="4" w:space="0"/>
              <w:right w:val="single" w:color="auto" w:sz="4" w:space="0"/>
            </w:tcBorders>
            <w:noWrap/>
            <w:vAlign w:val="center"/>
          </w:tcPr>
          <w:p>
            <w:pPr>
              <w:widowControl/>
              <w:jc w:val="right"/>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1500.49</w:t>
            </w:r>
          </w:p>
        </w:tc>
        <w:tc>
          <w:tcPr>
            <w:tcW w:w="2764" w:type="dxa"/>
            <w:tcBorders>
              <w:top w:val="nil"/>
              <w:left w:val="nil"/>
              <w:bottom w:val="single" w:color="auto" w:sz="4" w:space="0"/>
              <w:right w:val="single" w:color="auto" w:sz="4" w:space="0"/>
            </w:tcBorders>
            <w:noWrap/>
            <w:vAlign w:val="center"/>
          </w:tcPr>
          <w:p>
            <w:pPr>
              <w:widowControl/>
              <w:jc w:val="righ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64.57</w:t>
            </w:r>
            <w:r>
              <w:rPr>
                <w:rFonts w:hint="eastAsia" w:ascii="楷体" w:hAnsi="楷体" w:eastAsia="楷体" w:cs="楷体"/>
                <w:kern w:val="0"/>
                <w:sz w:val="28"/>
                <w:szCs w:val="28"/>
              </w:rPr>
              <w:t>%</w:t>
            </w:r>
          </w:p>
        </w:tc>
      </w:tr>
      <w:tr>
        <w:tblPrEx>
          <w:tblCellMar>
            <w:top w:w="0" w:type="dxa"/>
            <w:left w:w="108" w:type="dxa"/>
            <w:bottom w:w="0" w:type="dxa"/>
            <w:right w:w="108" w:type="dxa"/>
          </w:tblCellMar>
        </w:tblPrEx>
        <w:trPr>
          <w:trHeight w:val="371" w:hRule="atLeast"/>
        </w:trPr>
        <w:tc>
          <w:tcPr>
            <w:tcW w:w="3031"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商品和服务支出</w:t>
            </w:r>
          </w:p>
        </w:tc>
        <w:tc>
          <w:tcPr>
            <w:tcW w:w="2668" w:type="dxa"/>
            <w:tcBorders>
              <w:top w:val="nil"/>
              <w:left w:val="nil"/>
              <w:bottom w:val="single" w:color="auto" w:sz="4" w:space="0"/>
              <w:right w:val="single" w:color="auto" w:sz="4" w:space="0"/>
            </w:tcBorders>
            <w:noWrap/>
            <w:vAlign w:val="center"/>
          </w:tcPr>
          <w:p>
            <w:pPr>
              <w:widowControl/>
              <w:jc w:val="right"/>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295.57</w:t>
            </w:r>
          </w:p>
        </w:tc>
        <w:tc>
          <w:tcPr>
            <w:tcW w:w="2764" w:type="dxa"/>
            <w:tcBorders>
              <w:top w:val="nil"/>
              <w:left w:val="nil"/>
              <w:bottom w:val="single" w:color="auto" w:sz="4" w:space="0"/>
              <w:right w:val="single" w:color="auto" w:sz="4" w:space="0"/>
            </w:tcBorders>
            <w:noWrap/>
            <w:vAlign w:val="center"/>
          </w:tcPr>
          <w:p>
            <w:pPr>
              <w:widowControl/>
              <w:jc w:val="righ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12.72</w:t>
            </w:r>
            <w:r>
              <w:rPr>
                <w:rFonts w:hint="eastAsia" w:ascii="楷体" w:hAnsi="楷体" w:eastAsia="楷体" w:cs="楷体"/>
                <w:kern w:val="0"/>
                <w:sz w:val="28"/>
                <w:szCs w:val="28"/>
              </w:rPr>
              <w:t>%</w:t>
            </w:r>
          </w:p>
        </w:tc>
      </w:tr>
      <w:tr>
        <w:tblPrEx>
          <w:tblCellMar>
            <w:top w:w="0" w:type="dxa"/>
            <w:left w:w="108" w:type="dxa"/>
            <w:bottom w:w="0" w:type="dxa"/>
            <w:right w:w="108" w:type="dxa"/>
          </w:tblCellMar>
        </w:tblPrEx>
        <w:trPr>
          <w:trHeight w:val="371" w:hRule="atLeast"/>
        </w:trPr>
        <w:tc>
          <w:tcPr>
            <w:tcW w:w="3031"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对个人和家庭补助</w:t>
            </w:r>
          </w:p>
        </w:tc>
        <w:tc>
          <w:tcPr>
            <w:tcW w:w="2668" w:type="dxa"/>
            <w:tcBorders>
              <w:top w:val="nil"/>
              <w:left w:val="nil"/>
              <w:bottom w:val="single" w:color="auto" w:sz="4" w:space="0"/>
              <w:right w:val="single" w:color="auto" w:sz="4" w:space="0"/>
            </w:tcBorders>
            <w:noWrap/>
            <w:vAlign w:val="center"/>
          </w:tcPr>
          <w:p>
            <w:pPr>
              <w:widowControl/>
              <w:jc w:val="right"/>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327.82</w:t>
            </w:r>
          </w:p>
        </w:tc>
        <w:tc>
          <w:tcPr>
            <w:tcW w:w="2764" w:type="dxa"/>
            <w:tcBorders>
              <w:top w:val="nil"/>
              <w:left w:val="nil"/>
              <w:bottom w:val="single" w:color="auto" w:sz="4" w:space="0"/>
              <w:right w:val="single" w:color="auto" w:sz="4" w:space="0"/>
            </w:tcBorders>
            <w:noWrap/>
            <w:vAlign w:val="center"/>
          </w:tcPr>
          <w:p>
            <w:pPr>
              <w:widowControl/>
              <w:jc w:val="right"/>
              <w:rPr>
                <w:rFonts w:hint="eastAsia" w:ascii="楷体" w:hAnsi="楷体" w:eastAsia="楷体" w:cs="楷体"/>
                <w:kern w:val="0"/>
                <w:sz w:val="28"/>
                <w:szCs w:val="28"/>
              </w:rPr>
            </w:pPr>
            <w:r>
              <w:rPr>
                <w:rFonts w:hint="eastAsia" w:ascii="楷体" w:hAnsi="楷体" w:eastAsia="楷体" w:cs="楷体"/>
                <w:kern w:val="0"/>
                <w:sz w:val="28"/>
                <w:szCs w:val="28"/>
                <w:lang w:val="en-US" w:eastAsia="zh-CN"/>
              </w:rPr>
              <w:t>14.11</w:t>
            </w:r>
            <w:r>
              <w:rPr>
                <w:rFonts w:hint="eastAsia" w:ascii="楷体" w:hAnsi="楷体" w:eastAsia="楷体" w:cs="楷体"/>
                <w:kern w:val="0"/>
                <w:sz w:val="28"/>
                <w:szCs w:val="28"/>
              </w:rPr>
              <w:t>%</w:t>
            </w:r>
          </w:p>
        </w:tc>
      </w:tr>
      <w:tr>
        <w:tblPrEx>
          <w:tblCellMar>
            <w:top w:w="0" w:type="dxa"/>
            <w:left w:w="108" w:type="dxa"/>
            <w:bottom w:w="0" w:type="dxa"/>
            <w:right w:w="108" w:type="dxa"/>
          </w:tblCellMar>
        </w:tblPrEx>
        <w:trPr>
          <w:trHeight w:val="371" w:hRule="atLeast"/>
        </w:trPr>
        <w:tc>
          <w:tcPr>
            <w:tcW w:w="3031"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项目支出</w:t>
            </w:r>
          </w:p>
        </w:tc>
        <w:tc>
          <w:tcPr>
            <w:tcW w:w="2668" w:type="dxa"/>
            <w:tcBorders>
              <w:top w:val="nil"/>
              <w:left w:val="nil"/>
              <w:bottom w:val="single" w:color="auto" w:sz="4" w:space="0"/>
              <w:right w:val="single" w:color="auto" w:sz="4" w:space="0"/>
            </w:tcBorders>
            <w:noWrap/>
            <w:vAlign w:val="center"/>
          </w:tcPr>
          <w:p>
            <w:pPr>
              <w:widowControl/>
              <w:jc w:val="right"/>
              <w:rPr>
                <w:rFonts w:ascii="楷体" w:hAnsi="楷体" w:eastAsia="楷体" w:cs="楷体"/>
                <w:kern w:val="0"/>
                <w:sz w:val="28"/>
                <w:szCs w:val="28"/>
              </w:rPr>
            </w:pPr>
            <w:r>
              <w:rPr>
                <w:rFonts w:hint="eastAsia" w:ascii="楷体" w:hAnsi="楷体" w:eastAsia="楷体" w:cs="楷体"/>
                <w:kern w:val="0"/>
                <w:sz w:val="28"/>
                <w:szCs w:val="28"/>
                <w:lang w:val="en-US" w:eastAsia="zh-CN"/>
              </w:rPr>
              <w:t>199.87</w:t>
            </w:r>
          </w:p>
        </w:tc>
        <w:tc>
          <w:tcPr>
            <w:tcW w:w="2764" w:type="dxa"/>
            <w:tcBorders>
              <w:top w:val="nil"/>
              <w:left w:val="nil"/>
              <w:bottom w:val="single" w:color="auto" w:sz="4" w:space="0"/>
              <w:right w:val="single" w:color="auto" w:sz="4" w:space="0"/>
            </w:tcBorders>
            <w:noWrap/>
            <w:vAlign w:val="center"/>
          </w:tcPr>
          <w:p>
            <w:pPr>
              <w:widowControl/>
              <w:jc w:val="right"/>
              <w:rPr>
                <w:rFonts w:hint="eastAsia" w:ascii="楷体" w:hAnsi="楷体" w:eastAsia="楷体" w:cs="楷体"/>
                <w:kern w:val="0"/>
                <w:sz w:val="28"/>
                <w:szCs w:val="28"/>
              </w:rPr>
            </w:pPr>
            <w:r>
              <w:rPr>
                <w:rFonts w:hint="eastAsia" w:ascii="楷体" w:hAnsi="楷体" w:eastAsia="楷体" w:cs="楷体"/>
                <w:kern w:val="0"/>
                <w:sz w:val="28"/>
                <w:szCs w:val="28"/>
              </w:rPr>
              <w:t>8.</w:t>
            </w:r>
            <w:r>
              <w:rPr>
                <w:rFonts w:hint="eastAsia" w:ascii="楷体" w:hAnsi="楷体" w:eastAsia="楷体" w:cs="楷体"/>
                <w:kern w:val="0"/>
                <w:sz w:val="28"/>
                <w:szCs w:val="28"/>
                <w:lang w:val="en-US" w:eastAsia="zh-CN"/>
              </w:rPr>
              <w:t>6</w:t>
            </w:r>
            <w:r>
              <w:rPr>
                <w:rFonts w:hint="eastAsia" w:ascii="楷体" w:hAnsi="楷体" w:eastAsia="楷体" w:cs="楷体"/>
                <w:kern w:val="0"/>
                <w:sz w:val="28"/>
                <w:szCs w:val="28"/>
              </w:rPr>
              <w:t>%</w:t>
            </w:r>
          </w:p>
        </w:tc>
      </w:tr>
      <w:tr>
        <w:tblPrEx>
          <w:tblCellMar>
            <w:top w:w="0" w:type="dxa"/>
            <w:left w:w="108" w:type="dxa"/>
            <w:bottom w:w="0" w:type="dxa"/>
            <w:right w:w="108" w:type="dxa"/>
          </w:tblCellMar>
        </w:tblPrEx>
        <w:trPr>
          <w:trHeight w:val="371" w:hRule="atLeast"/>
        </w:trPr>
        <w:tc>
          <w:tcPr>
            <w:tcW w:w="3031"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总计</w:t>
            </w:r>
          </w:p>
        </w:tc>
        <w:tc>
          <w:tcPr>
            <w:tcW w:w="2668" w:type="dxa"/>
            <w:tcBorders>
              <w:top w:val="nil"/>
              <w:left w:val="nil"/>
              <w:bottom w:val="single" w:color="auto" w:sz="4" w:space="0"/>
              <w:right w:val="single" w:color="auto" w:sz="4" w:space="0"/>
            </w:tcBorders>
            <w:noWrap/>
            <w:vAlign w:val="center"/>
          </w:tcPr>
          <w:p>
            <w:pPr>
              <w:widowControl/>
              <w:jc w:val="right"/>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2323.75</w:t>
            </w:r>
          </w:p>
        </w:tc>
        <w:tc>
          <w:tcPr>
            <w:tcW w:w="2764" w:type="dxa"/>
            <w:tcBorders>
              <w:top w:val="nil"/>
              <w:left w:val="nil"/>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　</w:t>
            </w:r>
          </w:p>
        </w:tc>
      </w:tr>
      <w:tr>
        <w:tblPrEx>
          <w:tblCellMar>
            <w:top w:w="0" w:type="dxa"/>
            <w:left w:w="108" w:type="dxa"/>
            <w:bottom w:w="0" w:type="dxa"/>
            <w:right w:w="108" w:type="dxa"/>
          </w:tblCellMar>
        </w:tblPrEx>
        <w:trPr>
          <w:trHeight w:val="371" w:hRule="atLeast"/>
        </w:trPr>
        <w:tc>
          <w:tcPr>
            <w:tcW w:w="3031"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p>
        </w:tc>
        <w:tc>
          <w:tcPr>
            <w:tcW w:w="2668" w:type="dxa"/>
            <w:tcBorders>
              <w:top w:val="nil"/>
              <w:left w:val="nil"/>
              <w:bottom w:val="single" w:color="auto" w:sz="4" w:space="0"/>
              <w:right w:val="single" w:color="auto" w:sz="4" w:space="0"/>
            </w:tcBorders>
            <w:noWrap/>
            <w:vAlign w:val="center"/>
          </w:tcPr>
          <w:p>
            <w:pPr>
              <w:widowControl/>
              <w:jc w:val="right"/>
              <w:rPr>
                <w:rFonts w:hint="eastAsia" w:ascii="楷体" w:hAnsi="楷体" w:eastAsia="楷体" w:cs="楷体"/>
                <w:kern w:val="0"/>
                <w:sz w:val="28"/>
                <w:szCs w:val="28"/>
              </w:rPr>
            </w:pPr>
          </w:p>
        </w:tc>
        <w:tc>
          <w:tcPr>
            <w:tcW w:w="2764" w:type="dxa"/>
            <w:tcBorders>
              <w:top w:val="nil"/>
              <w:left w:val="nil"/>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p>
        </w:tc>
      </w:tr>
    </w:tbl>
    <w:p>
      <w:pPr>
        <w:snapToGrid w:val="0"/>
        <w:ind w:firstLine="420" w:firstLineChars="200"/>
      </w:pPr>
    </w:p>
    <w:p>
      <w:pPr>
        <w:snapToGrid w:val="0"/>
        <w:ind w:firstLine="420" w:firstLineChars="200"/>
      </w:pPr>
    </w:p>
    <w:p>
      <w:pPr>
        <w:snapToGrid w:val="0"/>
        <w:ind w:firstLine="420" w:firstLineChars="200"/>
      </w:pPr>
    </w:p>
    <w:p>
      <w:pPr>
        <w:snapToGrid w:val="0"/>
        <w:rPr>
          <w:rFonts w:hint="eastAsia" w:ascii="楷体" w:hAnsi="楷体" w:eastAsia="楷体" w:cs="楷体"/>
          <w:sz w:val="28"/>
          <w:szCs w:val="28"/>
        </w:rPr>
      </w:pPr>
      <w:r>
        <w:drawing>
          <wp:inline distT="0" distB="0" distL="114300" distR="114300">
            <wp:extent cx="5055870" cy="3044825"/>
            <wp:effectExtent l="4445" t="4445" r="6985" b="177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napToGrid w:val="0"/>
        <w:spacing w:line="520" w:lineRule="exact"/>
        <w:ind w:firstLine="843" w:firstLineChars="300"/>
        <w:rPr>
          <w:rFonts w:hint="eastAsia" w:ascii="楷体" w:hAnsi="楷体" w:eastAsia="楷体" w:cs="楷体"/>
          <w:b/>
          <w:sz w:val="28"/>
          <w:szCs w:val="28"/>
        </w:rPr>
      </w:pPr>
      <w:r>
        <w:rPr>
          <w:rFonts w:hint="eastAsia" w:ascii="楷体" w:hAnsi="楷体" w:eastAsia="楷体" w:cs="楷体"/>
          <w:b/>
          <w:sz w:val="28"/>
          <w:szCs w:val="28"/>
        </w:rPr>
        <w:t>3．支出按经济分类科目分析。</w:t>
      </w:r>
    </w:p>
    <w:p>
      <w:pPr>
        <w:snapToGrid w:val="0"/>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（1）“三公”经费支出情况：</w:t>
      </w:r>
    </w:p>
    <w:tbl>
      <w:tblPr>
        <w:tblStyle w:val="4"/>
        <w:tblW w:w="9296" w:type="dxa"/>
        <w:tblInd w:w="103" w:type="dxa"/>
        <w:tblLayout w:type="fixed"/>
        <w:tblCellMar>
          <w:top w:w="0" w:type="dxa"/>
          <w:left w:w="108" w:type="dxa"/>
          <w:bottom w:w="0" w:type="dxa"/>
          <w:right w:w="108" w:type="dxa"/>
        </w:tblCellMar>
      </w:tblPr>
      <w:tblGrid>
        <w:gridCol w:w="2606"/>
        <w:gridCol w:w="1615"/>
        <w:gridCol w:w="1680"/>
        <w:gridCol w:w="1610"/>
        <w:gridCol w:w="1785"/>
      </w:tblGrid>
      <w:tr>
        <w:tblPrEx>
          <w:tblCellMar>
            <w:top w:w="0" w:type="dxa"/>
            <w:left w:w="108" w:type="dxa"/>
            <w:bottom w:w="0" w:type="dxa"/>
            <w:right w:w="108" w:type="dxa"/>
          </w:tblCellMar>
        </w:tblPrEx>
        <w:trPr>
          <w:trHeight w:val="394" w:hRule="atLeast"/>
        </w:trPr>
        <w:tc>
          <w:tcPr>
            <w:tcW w:w="929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楷体" w:hAnsi="楷体" w:eastAsia="楷体" w:cs="楷体"/>
                <w:kern w:val="0"/>
                <w:sz w:val="28"/>
                <w:szCs w:val="28"/>
              </w:rPr>
            </w:pPr>
            <w:r>
              <w:rPr>
                <w:rFonts w:hint="eastAsia" w:ascii="楷体" w:hAnsi="楷体" w:eastAsia="楷体" w:cs="楷体"/>
                <w:kern w:val="0"/>
                <w:sz w:val="24"/>
                <w:szCs w:val="24"/>
              </w:rPr>
              <w:t>“三公”经费支出情况</w:t>
            </w:r>
          </w:p>
        </w:tc>
      </w:tr>
      <w:tr>
        <w:tblPrEx>
          <w:tblCellMar>
            <w:top w:w="0" w:type="dxa"/>
            <w:left w:w="108" w:type="dxa"/>
            <w:bottom w:w="0" w:type="dxa"/>
            <w:right w:w="108" w:type="dxa"/>
          </w:tblCellMar>
        </w:tblPrEx>
        <w:trPr>
          <w:trHeight w:val="574" w:hRule="atLeast"/>
        </w:trPr>
        <w:tc>
          <w:tcPr>
            <w:tcW w:w="260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名称</w:t>
            </w:r>
          </w:p>
        </w:tc>
        <w:tc>
          <w:tcPr>
            <w:tcW w:w="1615" w:type="dxa"/>
            <w:tcBorders>
              <w:top w:val="nil"/>
              <w:left w:val="nil"/>
              <w:bottom w:val="single" w:color="auto" w:sz="4" w:space="0"/>
              <w:right w:val="single" w:color="auto" w:sz="4" w:space="0"/>
            </w:tcBorders>
            <w:noWrap/>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预算数</w:t>
            </w:r>
            <w:r>
              <w:rPr>
                <w:rFonts w:hint="eastAsia" w:ascii="楷体" w:hAnsi="楷体" w:eastAsia="楷体" w:cs="楷体"/>
                <w:kern w:val="0"/>
                <w:sz w:val="24"/>
                <w:szCs w:val="24"/>
              </w:rPr>
              <w:t>（元）</w:t>
            </w:r>
          </w:p>
        </w:tc>
        <w:tc>
          <w:tcPr>
            <w:tcW w:w="1680" w:type="dxa"/>
            <w:tcBorders>
              <w:top w:val="nil"/>
              <w:left w:val="nil"/>
              <w:bottom w:val="single" w:color="auto" w:sz="4" w:space="0"/>
              <w:right w:val="single" w:color="auto" w:sz="4" w:space="0"/>
            </w:tcBorders>
            <w:noWrap/>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决算数</w:t>
            </w:r>
            <w:r>
              <w:rPr>
                <w:rFonts w:hint="eastAsia" w:ascii="楷体" w:hAnsi="楷体" w:eastAsia="楷体" w:cs="楷体"/>
                <w:kern w:val="0"/>
                <w:sz w:val="24"/>
                <w:szCs w:val="24"/>
              </w:rPr>
              <w:t>（元）</w:t>
            </w:r>
          </w:p>
        </w:tc>
        <w:tc>
          <w:tcPr>
            <w:tcW w:w="1610" w:type="dxa"/>
            <w:tcBorders>
              <w:top w:val="nil"/>
              <w:left w:val="nil"/>
              <w:bottom w:val="single" w:color="auto" w:sz="4" w:space="0"/>
              <w:right w:val="single" w:color="auto" w:sz="4" w:space="0"/>
            </w:tcBorders>
            <w:noWrap/>
            <w:vAlign w:val="center"/>
          </w:tcPr>
          <w:p>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预决算对比</w:t>
            </w:r>
          </w:p>
        </w:tc>
        <w:tc>
          <w:tcPr>
            <w:tcW w:w="1785" w:type="dxa"/>
            <w:tcBorders>
              <w:top w:val="nil"/>
              <w:left w:val="nil"/>
              <w:bottom w:val="single" w:color="auto" w:sz="4" w:space="0"/>
              <w:right w:val="single" w:color="auto" w:sz="4" w:space="0"/>
            </w:tcBorders>
            <w:noWrap/>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人均支出</w:t>
            </w:r>
            <w:r>
              <w:rPr>
                <w:rFonts w:hint="eastAsia" w:ascii="楷体" w:hAnsi="楷体" w:eastAsia="楷体" w:cs="楷体"/>
                <w:kern w:val="0"/>
                <w:sz w:val="24"/>
                <w:szCs w:val="24"/>
              </w:rPr>
              <w:t>（元）</w:t>
            </w:r>
          </w:p>
        </w:tc>
      </w:tr>
      <w:tr>
        <w:tblPrEx>
          <w:tblCellMar>
            <w:top w:w="0" w:type="dxa"/>
            <w:left w:w="108" w:type="dxa"/>
            <w:bottom w:w="0" w:type="dxa"/>
            <w:right w:w="108" w:type="dxa"/>
          </w:tblCellMar>
        </w:tblPrEx>
        <w:trPr>
          <w:trHeight w:val="383" w:hRule="atLeast"/>
        </w:trPr>
        <w:tc>
          <w:tcPr>
            <w:tcW w:w="2606"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公务接待费</w:t>
            </w:r>
          </w:p>
        </w:tc>
        <w:tc>
          <w:tcPr>
            <w:tcW w:w="161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楷体" w:hAnsi="楷体" w:eastAsia="楷体" w:cs="楷体"/>
                <w:color w:val="000000"/>
                <w:kern w:val="0"/>
                <w:sz w:val="24"/>
                <w:szCs w:val="24"/>
                <w:lang w:val="en-US" w:eastAsia="zh-CN"/>
              </w:rPr>
            </w:pPr>
            <w:r>
              <w:rPr>
                <w:rFonts w:hint="eastAsia" w:ascii="楷体" w:hAnsi="楷体" w:eastAsia="楷体" w:cs="楷体"/>
                <w:i w:val="0"/>
                <w:color w:val="000000"/>
                <w:kern w:val="0"/>
                <w:sz w:val="24"/>
                <w:szCs w:val="24"/>
                <w:u w:val="none"/>
                <w:lang w:val="en-US" w:eastAsia="zh-CN" w:bidi="ar"/>
              </w:rPr>
              <w:t>20000</w:t>
            </w:r>
          </w:p>
        </w:tc>
        <w:tc>
          <w:tcPr>
            <w:tcW w:w="168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楷体" w:hAnsi="楷体" w:eastAsia="楷体" w:cs="楷体"/>
                <w:color w:val="000000"/>
                <w:kern w:val="0"/>
                <w:sz w:val="24"/>
                <w:szCs w:val="24"/>
                <w:lang w:eastAsia="zh-CN"/>
              </w:rPr>
            </w:pPr>
            <w:r>
              <w:rPr>
                <w:rFonts w:hint="eastAsia" w:ascii="楷体" w:hAnsi="楷体" w:eastAsia="楷体" w:cs="楷体"/>
                <w:i w:val="0"/>
                <w:color w:val="000000"/>
                <w:kern w:val="0"/>
                <w:sz w:val="24"/>
                <w:szCs w:val="24"/>
                <w:u w:val="none"/>
                <w:lang w:val="en-US" w:eastAsia="zh-CN" w:bidi="ar"/>
              </w:rPr>
              <w:t>0</w:t>
            </w:r>
          </w:p>
        </w:tc>
        <w:tc>
          <w:tcPr>
            <w:tcW w:w="161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楷体" w:hAnsi="楷体" w:eastAsia="楷体" w:cs="楷体"/>
                <w:color w:val="000000"/>
                <w:kern w:val="0"/>
                <w:sz w:val="24"/>
                <w:szCs w:val="24"/>
              </w:rPr>
            </w:pPr>
            <w:r>
              <w:rPr>
                <w:rFonts w:hint="eastAsia" w:ascii="楷体" w:hAnsi="楷体" w:eastAsia="楷体" w:cs="楷体"/>
                <w:i w:val="0"/>
                <w:color w:val="000000"/>
                <w:kern w:val="0"/>
                <w:sz w:val="24"/>
                <w:szCs w:val="24"/>
                <w:u w:val="none"/>
                <w:lang w:val="en-US" w:eastAsia="zh-CN" w:bidi="ar"/>
              </w:rPr>
              <w:t>20000</w:t>
            </w:r>
          </w:p>
        </w:tc>
        <w:tc>
          <w:tcPr>
            <w:tcW w:w="178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楷体" w:hAnsi="楷体" w:eastAsia="楷体" w:cs="楷体"/>
                <w:color w:val="000000"/>
                <w:kern w:val="0"/>
                <w:sz w:val="24"/>
                <w:szCs w:val="24"/>
              </w:rPr>
            </w:pPr>
            <w:r>
              <w:rPr>
                <w:rFonts w:hint="eastAsia" w:ascii="楷体" w:hAnsi="楷体" w:eastAsia="楷体" w:cs="楷体"/>
                <w:i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383" w:hRule="atLeast"/>
        </w:trPr>
        <w:tc>
          <w:tcPr>
            <w:tcW w:w="2606"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公务用车运行维护费</w:t>
            </w:r>
          </w:p>
        </w:tc>
        <w:tc>
          <w:tcPr>
            <w:tcW w:w="1615" w:type="dxa"/>
            <w:tcBorders>
              <w:top w:val="nil"/>
              <w:left w:val="nil"/>
              <w:bottom w:val="single" w:color="auto" w:sz="4" w:space="0"/>
              <w:right w:val="single" w:color="auto" w:sz="4" w:space="0"/>
            </w:tcBorders>
            <w:noWrap/>
            <w:vAlign w:val="center"/>
          </w:tcPr>
          <w:p>
            <w:pPr>
              <w:jc w:val="right"/>
              <w:rPr>
                <w:rFonts w:hint="eastAsia" w:ascii="楷体" w:hAnsi="楷体" w:eastAsia="楷体" w:cs="楷体"/>
                <w:color w:val="000000"/>
                <w:kern w:val="0"/>
                <w:sz w:val="24"/>
                <w:szCs w:val="24"/>
              </w:rPr>
            </w:pPr>
          </w:p>
        </w:tc>
        <w:tc>
          <w:tcPr>
            <w:tcW w:w="168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楷体" w:hAnsi="楷体" w:eastAsia="楷体" w:cs="楷体"/>
                <w:color w:val="000000"/>
                <w:kern w:val="0"/>
                <w:sz w:val="24"/>
                <w:szCs w:val="24"/>
                <w:lang w:val="en-US" w:eastAsia="zh-CN"/>
              </w:rPr>
            </w:pPr>
            <w:r>
              <w:rPr>
                <w:rFonts w:hint="eastAsia" w:ascii="楷体" w:hAnsi="楷体" w:eastAsia="楷体" w:cs="楷体"/>
                <w:i w:val="0"/>
                <w:color w:val="000000"/>
                <w:kern w:val="0"/>
                <w:sz w:val="24"/>
                <w:szCs w:val="24"/>
                <w:u w:val="none"/>
                <w:lang w:val="en-US" w:eastAsia="zh-CN" w:bidi="ar"/>
              </w:rPr>
              <w:t>26108.91</w:t>
            </w:r>
          </w:p>
        </w:tc>
        <w:tc>
          <w:tcPr>
            <w:tcW w:w="161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楷体" w:hAnsi="楷体" w:eastAsia="楷体" w:cs="楷体"/>
                <w:color w:val="000000"/>
                <w:kern w:val="0"/>
                <w:sz w:val="24"/>
                <w:szCs w:val="24"/>
              </w:rPr>
            </w:pPr>
            <w:r>
              <w:rPr>
                <w:rFonts w:hint="eastAsia" w:ascii="楷体" w:hAnsi="楷体" w:eastAsia="楷体" w:cs="楷体"/>
                <w:i w:val="0"/>
                <w:color w:val="000000"/>
                <w:kern w:val="0"/>
                <w:sz w:val="24"/>
                <w:szCs w:val="24"/>
                <w:u w:val="none"/>
                <w:lang w:val="en-US" w:eastAsia="zh-CN" w:bidi="ar"/>
              </w:rPr>
              <w:t>-26108.91</w:t>
            </w:r>
          </w:p>
        </w:tc>
        <w:tc>
          <w:tcPr>
            <w:tcW w:w="178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楷体" w:hAnsi="楷体" w:eastAsia="楷体" w:cs="楷体"/>
                <w:color w:val="000000"/>
                <w:kern w:val="0"/>
                <w:sz w:val="24"/>
                <w:szCs w:val="24"/>
              </w:rPr>
            </w:pPr>
            <w:r>
              <w:rPr>
                <w:rFonts w:hint="eastAsia" w:ascii="楷体" w:hAnsi="楷体" w:eastAsia="楷体" w:cs="楷体"/>
                <w:i w:val="0"/>
                <w:color w:val="000000"/>
                <w:kern w:val="0"/>
                <w:sz w:val="24"/>
                <w:szCs w:val="24"/>
                <w:u w:val="none"/>
                <w:lang w:val="en-US" w:eastAsia="zh-CN" w:bidi="ar"/>
              </w:rPr>
              <w:t>237.35</w:t>
            </w:r>
          </w:p>
        </w:tc>
      </w:tr>
      <w:tr>
        <w:tblPrEx>
          <w:tblCellMar>
            <w:top w:w="0" w:type="dxa"/>
            <w:left w:w="108" w:type="dxa"/>
            <w:bottom w:w="0" w:type="dxa"/>
            <w:right w:w="108" w:type="dxa"/>
          </w:tblCellMar>
        </w:tblPrEx>
        <w:trPr>
          <w:trHeight w:val="383" w:hRule="atLeast"/>
        </w:trPr>
        <w:tc>
          <w:tcPr>
            <w:tcW w:w="2606"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公务用车购置</w:t>
            </w:r>
          </w:p>
        </w:tc>
        <w:tc>
          <w:tcPr>
            <w:tcW w:w="1615" w:type="dxa"/>
            <w:tcBorders>
              <w:top w:val="nil"/>
              <w:left w:val="nil"/>
              <w:bottom w:val="single" w:color="auto" w:sz="4" w:space="0"/>
              <w:right w:val="single" w:color="auto" w:sz="4" w:space="0"/>
            </w:tcBorders>
            <w:noWrap/>
            <w:vAlign w:val="center"/>
          </w:tcPr>
          <w:p>
            <w:pPr>
              <w:jc w:val="left"/>
              <w:rPr>
                <w:rFonts w:ascii="楷体" w:hAnsi="楷体" w:eastAsia="楷体" w:cs="楷体"/>
                <w:color w:val="000000"/>
                <w:kern w:val="0"/>
                <w:sz w:val="24"/>
                <w:szCs w:val="24"/>
              </w:rPr>
            </w:pPr>
          </w:p>
        </w:tc>
        <w:tc>
          <w:tcPr>
            <w:tcW w:w="1680" w:type="dxa"/>
            <w:tcBorders>
              <w:top w:val="nil"/>
              <w:left w:val="nil"/>
              <w:bottom w:val="single" w:color="auto" w:sz="4" w:space="0"/>
              <w:right w:val="single" w:color="auto" w:sz="4" w:space="0"/>
            </w:tcBorders>
            <w:noWrap/>
            <w:vAlign w:val="center"/>
          </w:tcPr>
          <w:p>
            <w:pPr>
              <w:jc w:val="right"/>
              <w:rPr>
                <w:rFonts w:hint="eastAsia" w:ascii="楷体" w:hAnsi="楷体" w:eastAsia="楷体" w:cs="楷体"/>
                <w:color w:val="000000"/>
                <w:kern w:val="0"/>
                <w:sz w:val="24"/>
                <w:szCs w:val="24"/>
              </w:rPr>
            </w:pPr>
          </w:p>
        </w:tc>
        <w:tc>
          <w:tcPr>
            <w:tcW w:w="1610" w:type="dxa"/>
            <w:tcBorders>
              <w:top w:val="nil"/>
              <w:left w:val="nil"/>
              <w:bottom w:val="single" w:color="auto" w:sz="4" w:space="0"/>
              <w:right w:val="single" w:color="auto" w:sz="4" w:space="0"/>
            </w:tcBorders>
            <w:noWrap/>
            <w:vAlign w:val="center"/>
          </w:tcPr>
          <w:p>
            <w:pPr>
              <w:jc w:val="right"/>
              <w:rPr>
                <w:rFonts w:hint="eastAsia" w:ascii="楷体" w:hAnsi="楷体" w:eastAsia="楷体" w:cs="楷体"/>
                <w:color w:val="000000"/>
                <w:kern w:val="0"/>
                <w:sz w:val="24"/>
                <w:szCs w:val="24"/>
              </w:rPr>
            </w:pPr>
          </w:p>
        </w:tc>
        <w:tc>
          <w:tcPr>
            <w:tcW w:w="1785" w:type="dxa"/>
            <w:tcBorders>
              <w:top w:val="nil"/>
              <w:left w:val="nil"/>
              <w:bottom w:val="single" w:color="auto" w:sz="4" w:space="0"/>
              <w:right w:val="single" w:color="auto" w:sz="4" w:space="0"/>
            </w:tcBorders>
            <w:noWrap/>
            <w:vAlign w:val="center"/>
          </w:tcPr>
          <w:p>
            <w:pPr>
              <w:jc w:val="right"/>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83" w:hRule="atLeast"/>
        </w:trPr>
        <w:tc>
          <w:tcPr>
            <w:tcW w:w="2606"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合计</w:t>
            </w:r>
          </w:p>
        </w:tc>
        <w:tc>
          <w:tcPr>
            <w:tcW w:w="161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楷体" w:hAnsi="楷体" w:eastAsia="楷体" w:cs="楷体"/>
                <w:color w:val="000000"/>
                <w:kern w:val="0"/>
                <w:sz w:val="24"/>
                <w:szCs w:val="24"/>
                <w:lang w:val="en-US" w:eastAsia="zh-CN"/>
              </w:rPr>
            </w:pPr>
            <w:r>
              <w:rPr>
                <w:rFonts w:hint="eastAsia" w:ascii="楷体" w:hAnsi="楷体" w:eastAsia="楷体" w:cs="楷体"/>
                <w:i w:val="0"/>
                <w:color w:val="000000"/>
                <w:kern w:val="0"/>
                <w:sz w:val="24"/>
                <w:szCs w:val="24"/>
                <w:u w:val="none"/>
                <w:lang w:val="en-US" w:eastAsia="zh-CN" w:bidi="ar"/>
              </w:rPr>
              <w:t>20000</w:t>
            </w:r>
          </w:p>
        </w:tc>
        <w:tc>
          <w:tcPr>
            <w:tcW w:w="168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楷体" w:hAnsi="楷体" w:eastAsia="楷体" w:cs="楷体"/>
                <w:color w:val="000000"/>
                <w:kern w:val="0"/>
                <w:sz w:val="24"/>
                <w:szCs w:val="24"/>
              </w:rPr>
            </w:pPr>
            <w:r>
              <w:rPr>
                <w:rFonts w:hint="eastAsia" w:ascii="楷体" w:hAnsi="楷体" w:eastAsia="楷体" w:cs="楷体"/>
                <w:i w:val="0"/>
                <w:color w:val="000000"/>
                <w:kern w:val="0"/>
                <w:sz w:val="24"/>
                <w:szCs w:val="24"/>
                <w:u w:val="none"/>
                <w:lang w:val="en-US" w:eastAsia="zh-CN" w:bidi="ar"/>
              </w:rPr>
              <w:t>26108.91</w:t>
            </w:r>
          </w:p>
        </w:tc>
        <w:tc>
          <w:tcPr>
            <w:tcW w:w="161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楷体" w:hAnsi="楷体" w:eastAsia="楷体" w:cs="楷体"/>
                <w:color w:val="000000"/>
                <w:kern w:val="0"/>
                <w:sz w:val="24"/>
                <w:szCs w:val="24"/>
              </w:rPr>
            </w:pPr>
            <w:r>
              <w:rPr>
                <w:rFonts w:hint="eastAsia" w:ascii="楷体" w:hAnsi="楷体" w:eastAsia="楷体" w:cs="楷体"/>
                <w:i w:val="0"/>
                <w:color w:val="000000"/>
                <w:kern w:val="0"/>
                <w:sz w:val="24"/>
                <w:szCs w:val="24"/>
                <w:u w:val="none"/>
                <w:lang w:val="en-US" w:eastAsia="zh-CN" w:bidi="ar"/>
              </w:rPr>
              <w:t>-6108.91</w:t>
            </w:r>
          </w:p>
        </w:tc>
        <w:tc>
          <w:tcPr>
            <w:tcW w:w="178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楷体" w:hAnsi="楷体" w:eastAsia="楷体" w:cs="楷体"/>
                <w:color w:val="000000"/>
                <w:kern w:val="0"/>
                <w:sz w:val="24"/>
                <w:szCs w:val="24"/>
              </w:rPr>
            </w:pPr>
            <w:r>
              <w:rPr>
                <w:rFonts w:hint="eastAsia" w:ascii="楷体" w:hAnsi="楷体" w:eastAsia="楷体" w:cs="楷体"/>
                <w:i w:val="0"/>
                <w:color w:val="000000"/>
                <w:kern w:val="0"/>
                <w:sz w:val="24"/>
                <w:szCs w:val="24"/>
                <w:u w:val="none"/>
                <w:lang w:val="en-US" w:eastAsia="zh-CN" w:bidi="ar"/>
              </w:rPr>
              <w:t>55.54</w:t>
            </w:r>
          </w:p>
        </w:tc>
      </w:tr>
    </w:tbl>
    <w:p>
      <w:pPr>
        <w:snapToGrid w:val="0"/>
        <w:rPr>
          <w:rFonts w:hint="eastAsia" w:ascii="楷体" w:hAnsi="楷体" w:eastAsia="楷体" w:cs="楷体"/>
          <w:sz w:val="28"/>
          <w:szCs w:val="28"/>
        </w:rPr>
      </w:pPr>
    </w:p>
    <w:p>
      <w:pPr>
        <w:snapToGrid w:val="0"/>
        <w:rPr>
          <w:rFonts w:hint="eastAsia" w:ascii="楷体" w:hAnsi="楷体" w:eastAsia="楷体" w:cs="楷体"/>
          <w:sz w:val="28"/>
          <w:szCs w:val="28"/>
        </w:rPr>
      </w:pPr>
      <w:r>
        <w:drawing>
          <wp:inline distT="0" distB="0" distL="114300" distR="114300">
            <wp:extent cx="5302250" cy="2743200"/>
            <wp:effectExtent l="4445" t="4445" r="825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napToGrid w:val="0"/>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（2）会议费支出情况：</w:t>
      </w:r>
    </w:p>
    <w:tbl>
      <w:tblPr>
        <w:tblStyle w:val="4"/>
        <w:tblW w:w="7947" w:type="dxa"/>
        <w:tblInd w:w="103" w:type="dxa"/>
        <w:tblLayout w:type="autofit"/>
        <w:tblCellMar>
          <w:top w:w="0" w:type="dxa"/>
          <w:left w:w="108" w:type="dxa"/>
          <w:bottom w:w="0" w:type="dxa"/>
          <w:right w:w="108" w:type="dxa"/>
        </w:tblCellMar>
      </w:tblPr>
      <w:tblGrid>
        <w:gridCol w:w="1514"/>
        <w:gridCol w:w="1691"/>
        <w:gridCol w:w="1537"/>
        <w:gridCol w:w="1691"/>
        <w:gridCol w:w="1514"/>
      </w:tblGrid>
      <w:tr>
        <w:tblPrEx>
          <w:tblCellMar>
            <w:top w:w="0" w:type="dxa"/>
            <w:left w:w="108" w:type="dxa"/>
            <w:bottom w:w="0" w:type="dxa"/>
            <w:right w:w="108" w:type="dxa"/>
          </w:tblCellMar>
        </w:tblPrEx>
        <w:trPr>
          <w:trHeight w:val="469" w:hRule="atLeast"/>
        </w:trPr>
        <w:tc>
          <w:tcPr>
            <w:tcW w:w="151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名称</w:t>
            </w:r>
          </w:p>
        </w:tc>
        <w:tc>
          <w:tcPr>
            <w:tcW w:w="1691"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预算数</w:t>
            </w:r>
            <w:r>
              <w:rPr>
                <w:rFonts w:hint="eastAsia" w:ascii="楷体" w:hAnsi="楷体" w:eastAsia="楷体" w:cs="楷体"/>
                <w:kern w:val="0"/>
                <w:sz w:val="28"/>
                <w:szCs w:val="28"/>
              </w:rPr>
              <w:t>（元）</w:t>
            </w:r>
          </w:p>
        </w:tc>
        <w:tc>
          <w:tcPr>
            <w:tcW w:w="1537"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决算数</w:t>
            </w:r>
            <w:r>
              <w:rPr>
                <w:rFonts w:hint="eastAsia" w:ascii="楷体" w:hAnsi="楷体" w:eastAsia="楷体" w:cs="楷体"/>
                <w:kern w:val="0"/>
                <w:sz w:val="28"/>
                <w:szCs w:val="28"/>
              </w:rPr>
              <w:t>（元）</w:t>
            </w:r>
          </w:p>
        </w:tc>
        <w:tc>
          <w:tcPr>
            <w:tcW w:w="1691"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预决算对比</w:t>
            </w:r>
          </w:p>
        </w:tc>
        <w:tc>
          <w:tcPr>
            <w:tcW w:w="1514"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人均支出</w:t>
            </w:r>
            <w:r>
              <w:rPr>
                <w:rFonts w:hint="eastAsia" w:ascii="楷体" w:hAnsi="楷体" w:eastAsia="楷体" w:cs="楷体"/>
                <w:kern w:val="0"/>
                <w:sz w:val="28"/>
                <w:szCs w:val="28"/>
              </w:rPr>
              <w:t>（元）</w:t>
            </w:r>
          </w:p>
        </w:tc>
      </w:tr>
      <w:tr>
        <w:tblPrEx>
          <w:tblCellMar>
            <w:top w:w="0" w:type="dxa"/>
            <w:left w:w="108" w:type="dxa"/>
            <w:bottom w:w="0" w:type="dxa"/>
            <w:right w:w="108" w:type="dxa"/>
          </w:tblCellMar>
        </w:tblPrEx>
        <w:trPr>
          <w:trHeight w:val="312" w:hRule="atLeast"/>
        </w:trPr>
        <w:tc>
          <w:tcPr>
            <w:tcW w:w="1514"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会议费</w:t>
            </w:r>
          </w:p>
        </w:tc>
        <w:tc>
          <w:tcPr>
            <w:tcW w:w="1691" w:type="dxa"/>
            <w:tcBorders>
              <w:top w:val="nil"/>
              <w:left w:val="nil"/>
              <w:bottom w:val="single" w:color="auto" w:sz="4" w:space="0"/>
              <w:right w:val="single" w:color="auto" w:sz="4" w:space="0"/>
            </w:tcBorders>
            <w:noWrap/>
            <w:vAlign w:val="center"/>
          </w:tcPr>
          <w:p>
            <w:pPr>
              <w:widowControl/>
              <w:jc w:val="right"/>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val="en-US" w:eastAsia="zh-CN"/>
              </w:rPr>
              <w:t>0</w:t>
            </w:r>
          </w:p>
        </w:tc>
        <w:tc>
          <w:tcPr>
            <w:tcW w:w="1537" w:type="dxa"/>
            <w:tcBorders>
              <w:top w:val="nil"/>
              <w:left w:val="nil"/>
              <w:bottom w:val="single" w:color="auto" w:sz="4" w:space="0"/>
              <w:right w:val="single" w:color="auto" w:sz="4" w:space="0"/>
            </w:tcBorders>
            <w:noWrap/>
            <w:vAlign w:val="center"/>
          </w:tcPr>
          <w:p>
            <w:pPr>
              <w:widowControl/>
              <w:jc w:val="right"/>
              <w:rPr>
                <w:rFonts w:hint="default"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1800</w:t>
            </w:r>
          </w:p>
        </w:tc>
        <w:tc>
          <w:tcPr>
            <w:tcW w:w="1691" w:type="dxa"/>
            <w:tcBorders>
              <w:top w:val="nil"/>
              <w:left w:val="nil"/>
              <w:bottom w:val="single" w:color="auto" w:sz="4" w:space="0"/>
              <w:right w:val="single" w:color="auto" w:sz="4" w:space="0"/>
            </w:tcBorders>
            <w:noWrap/>
            <w:vAlign w:val="center"/>
          </w:tcPr>
          <w:p>
            <w:pPr>
              <w:widowControl/>
              <w:jc w:val="right"/>
              <w:rPr>
                <w:rFonts w:hint="default"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-1800</w:t>
            </w:r>
          </w:p>
        </w:tc>
        <w:tc>
          <w:tcPr>
            <w:tcW w:w="1514" w:type="dxa"/>
            <w:tcBorders>
              <w:top w:val="nil"/>
              <w:left w:val="nil"/>
              <w:bottom w:val="single" w:color="auto" w:sz="4" w:space="0"/>
              <w:right w:val="single" w:color="auto" w:sz="4" w:space="0"/>
            </w:tcBorders>
            <w:noWrap/>
            <w:vAlign w:val="center"/>
          </w:tcPr>
          <w:p>
            <w:pPr>
              <w:widowControl/>
              <w:jc w:val="right"/>
              <w:rPr>
                <w:rFonts w:hint="default"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16.36</w:t>
            </w:r>
          </w:p>
        </w:tc>
      </w:tr>
    </w:tbl>
    <w:p>
      <w:pPr>
        <w:snapToGrid w:val="0"/>
        <w:spacing w:line="520" w:lineRule="exact"/>
        <w:rPr>
          <w:rFonts w:hint="eastAsia" w:ascii="楷体" w:hAnsi="楷体" w:eastAsia="楷体" w:cs="楷体"/>
          <w:sz w:val="28"/>
          <w:szCs w:val="28"/>
        </w:rPr>
      </w:pPr>
    </w:p>
    <w:p>
      <w:pPr>
        <w:snapToGrid w:val="0"/>
        <w:rPr>
          <w:rFonts w:hint="eastAsia" w:ascii="楷体" w:hAnsi="楷体" w:eastAsia="楷体" w:cs="楷体"/>
          <w:sz w:val="28"/>
          <w:szCs w:val="28"/>
        </w:rPr>
      </w:pPr>
      <w:r>
        <w:drawing>
          <wp:inline distT="0" distB="0" distL="114300" distR="114300">
            <wp:extent cx="4572000" cy="2743200"/>
            <wp:effectExtent l="4445" t="4445" r="14605" b="1460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napToGrid w:val="0"/>
        <w:spacing w:line="520" w:lineRule="exact"/>
        <w:ind w:left="420" w:leftChars="200"/>
        <w:rPr>
          <w:rFonts w:hint="eastAsia" w:ascii="楷体" w:hAnsi="楷体" w:eastAsia="楷体" w:cs="楷体"/>
          <w:sz w:val="28"/>
          <w:szCs w:val="28"/>
        </w:rPr>
      </w:pPr>
      <w:r>
        <w:rPr>
          <w:rFonts w:hint="eastAsia" w:ascii="楷体" w:hAnsi="楷体" w:eastAsia="楷体" w:cs="楷体"/>
          <w:sz w:val="28"/>
          <w:szCs w:val="28"/>
        </w:rPr>
        <w:t>（3）培训费支出情况：</w:t>
      </w:r>
    </w:p>
    <w:tbl>
      <w:tblPr>
        <w:tblStyle w:val="4"/>
        <w:tblW w:w="8471" w:type="dxa"/>
        <w:tblInd w:w="103" w:type="dxa"/>
        <w:tblLayout w:type="fixed"/>
        <w:tblCellMar>
          <w:top w:w="0" w:type="dxa"/>
          <w:left w:w="108" w:type="dxa"/>
          <w:bottom w:w="0" w:type="dxa"/>
          <w:right w:w="108" w:type="dxa"/>
        </w:tblCellMar>
      </w:tblPr>
      <w:tblGrid>
        <w:gridCol w:w="1551"/>
        <w:gridCol w:w="1732"/>
        <w:gridCol w:w="1648"/>
        <w:gridCol w:w="1635"/>
        <w:gridCol w:w="1905"/>
      </w:tblGrid>
      <w:tr>
        <w:tblPrEx>
          <w:tblCellMar>
            <w:top w:w="0" w:type="dxa"/>
            <w:left w:w="108" w:type="dxa"/>
            <w:bottom w:w="0" w:type="dxa"/>
            <w:right w:w="108" w:type="dxa"/>
          </w:tblCellMar>
        </w:tblPrEx>
        <w:trPr>
          <w:trHeight w:val="714" w:hRule="atLeast"/>
        </w:trPr>
        <w:tc>
          <w:tcPr>
            <w:tcW w:w="15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名称</w:t>
            </w:r>
          </w:p>
        </w:tc>
        <w:tc>
          <w:tcPr>
            <w:tcW w:w="1732"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预算数</w:t>
            </w:r>
            <w:r>
              <w:rPr>
                <w:rFonts w:hint="eastAsia" w:ascii="楷体" w:hAnsi="楷体" w:eastAsia="楷体" w:cs="楷体"/>
                <w:kern w:val="0"/>
                <w:sz w:val="28"/>
                <w:szCs w:val="28"/>
              </w:rPr>
              <w:t>（元）</w:t>
            </w:r>
          </w:p>
        </w:tc>
        <w:tc>
          <w:tcPr>
            <w:tcW w:w="1648"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决算数</w:t>
            </w:r>
            <w:r>
              <w:rPr>
                <w:rFonts w:hint="eastAsia" w:ascii="楷体" w:hAnsi="楷体" w:eastAsia="楷体" w:cs="楷体"/>
                <w:kern w:val="0"/>
                <w:sz w:val="28"/>
                <w:szCs w:val="28"/>
              </w:rPr>
              <w:t>（元）</w:t>
            </w:r>
          </w:p>
        </w:tc>
        <w:tc>
          <w:tcPr>
            <w:tcW w:w="1635"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预决算对比</w:t>
            </w:r>
          </w:p>
        </w:tc>
        <w:tc>
          <w:tcPr>
            <w:tcW w:w="1905" w:type="dxa"/>
            <w:tcBorders>
              <w:top w:val="single" w:color="auto" w:sz="4" w:space="0"/>
              <w:left w:val="nil"/>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人均支出</w:t>
            </w:r>
            <w:r>
              <w:rPr>
                <w:rFonts w:hint="eastAsia" w:ascii="楷体" w:hAnsi="楷体" w:eastAsia="楷体" w:cs="楷体"/>
                <w:kern w:val="0"/>
                <w:sz w:val="28"/>
                <w:szCs w:val="28"/>
              </w:rPr>
              <w:t>（元）</w:t>
            </w:r>
          </w:p>
        </w:tc>
      </w:tr>
      <w:tr>
        <w:tblPrEx>
          <w:tblCellMar>
            <w:top w:w="0" w:type="dxa"/>
            <w:left w:w="108" w:type="dxa"/>
            <w:bottom w:w="0" w:type="dxa"/>
            <w:right w:w="108" w:type="dxa"/>
          </w:tblCellMar>
        </w:tblPrEx>
        <w:trPr>
          <w:trHeight w:val="279" w:hRule="atLeast"/>
        </w:trPr>
        <w:tc>
          <w:tcPr>
            <w:tcW w:w="1551" w:type="dxa"/>
            <w:tcBorders>
              <w:top w:val="nil"/>
              <w:left w:val="single" w:color="auto" w:sz="4" w:space="0"/>
              <w:bottom w:val="single" w:color="auto" w:sz="4" w:space="0"/>
              <w:right w:val="single" w:color="auto" w:sz="4" w:space="0"/>
            </w:tcBorders>
            <w:noWrap/>
            <w:vAlign w:val="center"/>
          </w:tcPr>
          <w:p>
            <w:pPr>
              <w:widowControl/>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培训费</w:t>
            </w:r>
          </w:p>
        </w:tc>
        <w:tc>
          <w:tcPr>
            <w:tcW w:w="1732" w:type="dxa"/>
            <w:tcBorders>
              <w:top w:val="nil"/>
              <w:left w:val="nil"/>
              <w:bottom w:val="single" w:color="auto" w:sz="4" w:space="0"/>
              <w:right w:val="single" w:color="auto" w:sz="4" w:space="0"/>
            </w:tcBorders>
            <w:noWrap/>
            <w:vAlign w:val="center"/>
          </w:tcPr>
          <w:p>
            <w:pPr>
              <w:widowControl/>
              <w:jc w:val="right"/>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val="en-US" w:eastAsia="zh-CN"/>
              </w:rPr>
              <w:t>0</w:t>
            </w:r>
          </w:p>
        </w:tc>
        <w:tc>
          <w:tcPr>
            <w:tcW w:w="1648" w:type="dxa"/>
            <w:tcBorders>
              <w:top w:val="nil"/>
              <w:left w:val="nil"/>
              <w:bottom w:val="single" w:color="auto" w:sz="4" w:space="0"/>
              <w:right w:val="single" w:color="auto" w:sz="4" w:space="0"/>
            </w:tcBorders>
            <w:noWrap/>
            <w:vAlign w:val="center"/>
          </w:tcPr>
          <w:p>
            <w:pPr>
              <w:widowControl/>
              <w:jc w:val="right"/>
              <w:rPr>
                <w:rFonts w:hint="default"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15000</w:t>
            </w:r>
          </w:p>
        </w:tc>
        <w:tc>
          <w:tcPr>
            <w:tcW w:w="1635" w:type="dxa"/>
            <w:tcBorders>
              <w:top w:val="nil"/>
              <w:left w:val="nil"/>
              <w:bottom w:val="single" w:color="auto" w:sz="4" w:space="0"/>
              <w:right w:val="single" w:color="auto" w:sz="4" w:space="0"/>
            </w:tcBorders>
            <w:noWrap/>
            <w:vAlign w:val="center"/>
          </w:tcPr>
          <w:p>
            <w:pPr>
              <w:widowControl/>
              <w:jc w:val="righ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-15000</w:t>
            </w:r>
            <w:r>
              <w:rPr>
                <w:rFonts w:hint="eastAsia" w:ascii="楷体" w:hAnsi="楷体" w:eastAsia="楷体" w:cs="楷体"/>
                <w:color w:val="000000"/>
                <w:kern w:val="0"/>
                <w:sz w:val="28"/>
                <w:szCs w:val="28"/>
              </w:rPr>
              <w:t xml:space="preserve"> </w:t>
            </w:r>
          </w:p>
        </w:tc>
        <w:tc>
          <w:tcPr>
            <w:tcW w:w="1905" w:type="dxa"/>
            <w:tcBorders>
              <w:top w:val="nil"/>
              <w:left w:val="nil"/>
              <w:bottom w:val="single" w:color="auto" w:sz="4" w:space="0"/>
              <w:right w:val="single" w:color="auto" w:sz="4" w:space="0"/>
            </w:tcBorders>
            <w:noWrap/>
            <w:vAlign w:val="center"/>
          </w:tcPr>
          <w:p>
            <w:pPr>
              <w:widowControl/>
              <w:jc w:val="righ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136.36</w:t>
            </w:r>
            <w:r>
              <w:rPr>
                <w:rFonts w:hint="eastAsia" w:ascii="楷体" w:hAnsi="楷体" w:eastAsia="楷体" w:cs="楷体"/>
                <w:color w:val="000000"/>
                <w:kern w:val="0"/>
                <w:sz w:val="28"/>
                <w:szCs w:val="28"/>
              </w:rPr>
              <w:t xml:space="preserve"> </w:t>
            </w:r>
          </w:p>
        </w:tc>
      </w:tr>
    </w:tbl>
    <w:p>
      <w:pPr>
        <w:snapToGrid w:val="0"/>
        <w:rPr>
          <w:rFonts w:hint="eastAsia" w:ascii="楷体" w:hAnsi="楷体" w:eastAsia="楷体" w:cs="楷体"/>
          <w:sz w:val="28"/>
          <w:szCs w:val="28"/>
        </w:rPr>
      </w:pPr>
      <w:r>
        <w:drawing>
          <wp:inline distT="0" distB="0" distL="114300" distR="114300">
            <wp:extent cx="4572000" cy="2743200"/>
            <wp:effectExtent l="4445" t="4445" r="14605" b="1460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napToGrid w:val="0"/>
        <w:spacing w:line="520" w:lineRule="exact"/>
        <w:ind w:firstLine="562" w:firstLineChars="200"/>
        <w:rPr>
          <w:rFonts w:hint="eastAsia" w:ascii="楷体" w:hAnsi="楷体" w:eastAsia="楷体" w:cs="楷体"/>
          <w:b/>
          <w:sz w:val="28"/>
          <w:szCs w:val="28"/>
        </w:rPr>
      </w:pPr>
      <w:r>
        <w:rPr>
          <w:rFonts w:hint="eastAsia" w:ascii="楷体" w:hAnsi="楷体" w:eastAsia="楷体" w:cs="楷体"/>
          <w:b/>
          <w:sz w:val="28"/>
          <w:szCs w:val="28"/>
        </w:rPr>
        <w:t>4.财政拨款收入、支出分析。</w:t>
      </w:r>
    </w:p>
    <w:p>
      <w:pPr>
        <w:spacing w:line="520" w:lineRule="exact"/>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（1）收入支出总体情况说明</w:t>
      </w:r>
    </w:p>
    <w:p>
      <w:pPr>
        <w:spacing w:line="360" w:lineRule="auto"/>
        <w:ind w:firstLine="560" w:firstLineChars="200"/>
        <w:rPr>
          <w:rFonts w:ascii="宋体" w:cs="宋体"/>
          <w:b/>
          <w:bCs/>
          <w:kern w:val="0"/>
          <w:szCs w:val="21"/>
        </w:rPr>
      </w:pPr>
      <w:r>
        <w:rPr>
          <w:rFonts w:hint="eastAsia" w:ascii="楷体" w:hAnsi="楷体" w:eastAsia="楷体" w:cs="楷体"/>
          <w:sz w:val="28"/>
          <w:szCs w:val="28"/>
          <w:lang w:val="en-US" w:eastAsia="zh-CN"/>
        </w:rPr>
        <w:t>2020</w:t>
      </w:r>
      <w:r>
        <w:rPr>
          <w:rFonts w:hint="eastAsia" w:ascii="楷体" w:hAnsi="楷体" w:eastAsia="楷体" w:cs="楷体"/>
          <w:sz w:val="28"/>
          <w:szCs w:val="28"/>
          <w:lang w:val="zh-CN"/>
        </w:rPr>
        <w:t>年度总收入</w:t>
      </w:r>
      <w:r>
        <w:rPr>
          <w:rFonts w:hint="eastAsia" w:ascii="楷体" w:hAnsi="楷体" w:eastAsia="楷体" w:cs="楷体"/>
          <w:sz w:val="28"/>
          <w:szCs w:val="28"/>
          <w:lang w:val="en-US" w:eastAsia="zh-CN"/>
        </w:rPr>
        <w:t>24006275.86</w:t>
      </w:r>
      <w:r>
        <w:rPr>
          <w:rFonts w:hint="eastAsia" w:ascii="楷体" w:hAnsi="楷体" w:eastAsia="楷体" w:cs="楷体"/>
          <w:sz w:val="28"/>
          <w:szCs w:val="28"/>
          <w:lang w:val="zh-CN"/>
        </w:rPr>
        <w:t>元，其中财政拨款</w:t>
      </w:r>
      <w:r>
        <w:rPr>
          <w:rFonts w:hint="eastAsia" w:ascii="楷体" w:hAnsi="楷体" w:eastAsia="楷体" w:cs="楷体"/>
          <w:sz w:val="28"/>
          <w:szCs w:val="28"/>
          <w:lang w:val="en-US" w:eastAsia="zh-CN"/>
        </w:rPr>
        <w:t>21012141.7</w:t>
      </w:r>
      <w:r>
        <w:rPr>
          <w:rFonts w:hint="eastAsia" w:ascii="楷体" w:hAnsi="楷体" w:eastAsia="楷体" w:cs="楷体"/>
          <w:sz w:val="28"/>
          <w:szCs w:val="28"/>
          <w:lang w:val="zh-CN"/>
        </w:rPr>
        <w:t>元，年初结转和结余</w:t>
      </w:r>
      <w:r>
        <w:rPr>
          <w:rFonts w:hint="eastAsia" w:ascii="楷体" w:hAnsi="楷体" w:eastAsia="楷体" w:cs="楷体"/>
          <w:sz w:val="28"/>
          <w:szCs w:val="28"/>
          <w:lang w:val="en-US" w:eastAsia="zh-CN"/>
        </w:rPr>
        <w:t>92550.7</w:t>
      </w:r>
      <w:r>
        <w:rPr>
          <w:rFonts w:hint="eastAsia" w:ascii="楷体" w:hAnsi="楷体" w:eastAsia="楷体" w:cs="楷体"/>
          <w:sz w:val="28"/>
          <w:szCs w:val="28"/>
          <w:lang w:val="zh-CN"/>
        </w:rPr>
        <w:t>元，其他收入</w:t>
      </w:r>
      <w:r>
        <w:rPr>
          <w:rFonts w:hint="eastAsia" w:ascii="楷体" w:hAnsi="楷体" w:eastAsia="楷体" w:cs="楷体"/>
          <w:sz w:val="28"/>
          <w:szCs w:val="28"/>
          <w:lang w:val="en-US" w:eastAsia="zh-CN"/>
        </w:rPr>
        <w:t>2901583.46</w:t>
      </w:r>
      <w:r>
        <w:rPr>
          <w:rFonts w:hint="eastAsia" w:ascii="楷体" w:hAnsi="楷体" w:eastAsia="楷体" w:cs="楷体"/>
          <w:sz w:val="28"/>
          <w:szCs w:val="28"/>
          <w:lang w:val="zh-CN"/>
        </w:rPr>
        <w:t>元，2</w:t>
      </w:r>
      <w:r>
        <w:rPr>
          <w:rFonts w:hint="eastAsia" w:ascii="楷体" w:hAnsi="楷体" w:eastAsia="楷体" w:cs="楷体"/>
          <w:sz w:val="28"/>
          <w:szCs w:val="28"/>
          <w:lang w:val="en-US" w:eastAsia="zh-CN"/>
        </w:rPr>
        <w:t>020</w:t>
      </w:r>
      <w:r>
        <w:rPr>
          <w:rFonts w:hint="eastAsia" w:ascii="楷体" w:hAnsi="楷体" w:eastAsia="楷体" w:cs="楷体"/>
          <w:sz w:val="28"/>
          <w:szCs w:val="28"/>
          <w:lang w:val="zh-CN"/>
        </w:rPr>
        <w:t>年度总支出</w:t>
      </w:r>
      <w:r>
        <w:rPr>
          <w:rFonts w:hint="eastAsia" w:ascii="楷体" w:hAnsi="楷体" w:eastAsia="楷体" w:cs="楷体"/>
          <w:sz w:val="28"/>
          <w:szCs w:val="28"/>
          <w:lang w:val="en-US" w:eastAsia="zh-CN"/>
        </w:rPr>
        <w:t>23237469.4</w:t>
      </w:r>
      <w:r>
        <w:rPr>
          <w:rFonts w:hint="eastAsia" w:ascii="楷体" w:hAnsi="楷体" w:eastAsia="楷体" w:cs="楷体"/>
          <w:sz w:val="28"/>
          <w:szCs w:val="28"/>
          <w:lang w:val="zh-CN"/>
        </w:rPr>
        <w:t>元，基中基本支出</w:t>
      </w:r>
      <w:r>
        <w:rPr>
          <w:rFonts w:hint="eastAsia" w:ascii="楷体" w:hAnsi="楷体" w:eastAsia="楷体" w:cs="楷体"/>
          <w:sz w:val="28"/>
          <w:szCs w:val="28"/>
          <w:lang w:val="en-US" w:eastAsia="zh-CN"/>
        </w:rPr>
        <w:t>21238741.79</w:t>
      </w:r>
      <w:r>
        <w:rPr>
          <w:rFonts w:hint="eastAsia" w:ascii="楷体" w:hAnsi="楷体" w:eastAsia="楷体" w:cs="楷体"/>
          <w:sz w:val="28"/>
          <w:szCs w:val="28"/>
          <w:lang w:val="zh-CN"/>
        </w:rPr>
        <w:t>元，占总支出的</w:t>
      </w:r>
      <w:r>
        <w:rPr>
          <w:rFonts w:hint="eastAsia" w:ascii="楷体" w:hAnsi="楷体" w:eastAsia="楷体" w:cs="楷体"/>
          <w:sz w:val="28"/>
          <w:szCs w:val="28"/>
        </w:rPr>
        <w:t>91</w:t>
      </w:r>
      <w:r>
        <w:rPr>
          <w:rFonts w:hint="eastAsia" w:ascii="楷体" w:hAnsi="楷体" w:eastAsia="楷体" w:cs="楷体"/>
          <w:sz w:val="28"/>
          <w:szCs w:val="28"/>
          <w:lang w:val="zh-CN"/>
        </w:rPr>
        <w:t>.</w:t>
      </w:r>
      <w:r>
        <w:rPr>
          <w:rFonts w:hint="eastAsia" w:ascii="楷体" w:hAnsi="楷体" w:eastAsia="楷体" w:cs="楷体"/>
          <w:sz w:val="28"/>
          <w:szCs w:val="28"/>
          <w:lang w:val="en-US" w:eastAsia="zh-CN"/>
        </w:rPr>
        <w:t>4</w:t>
      </w:r>
      <w:r>
        <w:rPr>
          <w:rFonts w:hint="eastAsia" w:ascii="楷体" w:hAnsi="楷体" w:eastAsia="楷体" w:cs="楷体"/>
          <w:sz w:val="28"/>
          <w:szCs w:val="28"/>
        </w:rPr>
        <w:t>%</w:t>
      </w:r>
      <w:r>
        <w:rPr>
          <w:rFonts w:hint="eastAsia" w:ascii="楷体" w:hAnsi="楷体" w:eastAsia="楷体" w:cs="楷体"/>
          <w:sz w:val="28"/>
          <w:szCs w:val="28"/>
          <w:lang w:val="zh-CN"/>
        </w:rPr>
        <w:t>，项目支出</w:t>
      </w:r>
      <w:r>
        <w:rPr>
          <w:rFonts w:hint="eastAsia" w:ascii="楷体" w:hAnsi="楷体" w:eastAsia="楷体" w:cs="楷体"/>
          <w:sz w:val="28"/>
          <w:szCs w:val="28"/>
          <w:lang w:val="en-US" w:eastAsia="zh-CN"/>
        </w:rPr>
        <w:t>1998727.61</w:t>
      </w:r>
      <w:r>
        <w:rPr>
          <w:rFonts w:hint="eastAsia" w:ascii="楷体" w:hAnsi="楷体" w:eastAsia="楷体" w:cs="楷体"/>
          <w:sz w:val="28"/>
          <w:szCs w:val="28"/>
          <w:lang w:val="zh-CN"/>
        </w:rPr>
        <w:t>元，占总支出的</w:t>
      </w:r>
      <w:r>
        <w:rPr>
          <w:rFonts w:hint="eastAsia" w:ascii="楷体" w:hAnsi="楷体" w:eastAsia="楷体" w:cs="楷体"/>
          <w:sz w:val="28"/>
          <w:szCs w:val="28"/>
        </w:rPr>
        <w:t>8.</w:t>
      </w:r>
      <w:r>
        <w:rPr>
          <w:rFonts w:hint="eastAsia" w:ascii="楷体" w:hAnsi="楷体" w:eastAsia="楷体" w:cs="楷体"/>
          <w:sz w:val="28"/>
          <w:szCs w:val="28"/>
          <w:lang w:val="en-US" w:eastAsia="zh-CN"/>
        </w:rPr>
        <w:t>6</w:t>
      </w:r>
      <w:r>
        <w:rPr>
          <w:rFonts w:hint="eastAsia" w:ascii="楷体" w:hAnsi="楷体" w:eastAsia="楷体" w:cs="楷体"/>
          <w:sz w:val="28"/>
          <w:szCs w:val="28"/>
        </w:rPr>
        <w:t>%。 2</w:t>
      </w:r>
      <w:r>
        <w:rPr>
          <w:rFonts w:hint="eastAsia" w:ascii="楷体" w:hAnsi="楷体" w:eastAsia="楷体" w:cs="楷体"/>
          <w:sz w:val="28"/>
          <w:szCs w:val="28"/>
          <w:lang w:val="en-US" w:eastAsia="zh-CN"/>
        </w:rPr>
        <w:t>020</w:t>
      </w:r>
      <w:r>
        <w:rPr>
          <w:rFonts w:hint="eastAsia" w:ascii="楷体" w:hAnsi="楷体" w:eastAsia="楷体" w:cs="楷体"/>
          <w:sz w:val="28"/>
          <w:szCs w:val="28"/>
        </w:rPr>
        <w:t>年</w:t>
      </w:r>
      <w:r>
        <w:rPr>
          <w:rFonts w:hint="eastAsia" w:ascii="楷体" w:hAnsi="楷体" w:eastAsia="楷体" w:cs="楷体"/>
          <w:sz w:val="28"/>
          <w:szCs w:val="28"/>
          <w:lang w:eastAsia="zh-CN"/>
        </w:rPr>
        <w:t>结转</w:t>
      </w:r>
      <w:r>
        <w:rPr>
          <w:rFonts w:hint="eastAsia" w:ascii="楷体" w:hAnsi="楷体" w:eastAsia="楷体" w:cs="楷体"/>
          <w:sz w:val="28"/>
          <w:szCs w:val="28"/>
        </w:rPr>
        <w:t>结余</w:t>
      </w:r>
      <w:r>
        <w:rPr>
          <w:rFonts w:hint="eastAsia" w:ascii="楷体" w:hAnsi="楷体" w:eastAsia="楷体" w:cs="楷体"/>
          <w:sz w:val="28"/>
          <w:szCs w:val="28"/>
          <w:lang w:val="en-US" w:eastAsia="zh-CN"/>
        </w:rPr>
        <w:t>768806.46</w:t>
      </w:r>
      <w:r>
        <w:rPr>
          <w:rFonts w:hint="eastAsia" w:ascii="楷体" w:hAnsi="楷体" w:eastAsia="楷体" w:cs="楷体"/>
          <w:sz w:val="28"/>
          <w:szCs w:val="28"/>
        </w:rPr>
        <w:t>元，其中财政拨款</w:t>
      </w:r>
      <w:r>
        <w:rPr>
          <w:rFonts w:hint="eastAsia" w:ascii="楷体" w:hAnsi="楷体" w:eastAsia="楷体" w:cs="楷体"/>
          <w:sz w:val="28"/>
          <w:szCs w:val="28"/>
          <w:lang w:eastAsia="zh-CN"/>
        </w:rPr>
        <w:t>结转</w:t>
      </w:r>
      <w:r>
        <w:rPr>
          <w:rFonts w:hint="eastAsia" w:ascii="楷体" w:hAnsi="楷体" w:eastAsia="楷体" w:cs="楷体"/>
          <w:sz w:val="28"/>
          <w:szCs w:val="28"/>
        </w:rPr>
        <w:t>结余</w:t>
      </w:r>
      <w:r>
        <w:rPr>
          <w:rFonts w:hint="eastAsia" w:ascii="楷体" w:hAnsi="楷体" w:eastAsia="楷体" w:cs="楷体"/>
          <w:sz w:val="28"/>
          <w:szCs w:val="28"/>
          <w:lang w:val="en-US" w:eastAsia="zh-CN"/>
        </w:rPr>
        <w:t>768806.46</w:t>
      </w:r>
      <w:r>
        <w:rPr>
          <w:rFonts w:hint="eastAsia" w:ascii="楷体" w:hAnsi="楷体" w:eastAsia="楷体" w:cs="楷体"/>
          <w:sz w:val="28"/>
          <w:szCs w:val="28"/>
        </w:rPr>
        <w:t>元</w:t>
      </w:r>
      <w:r>
        <w:rPr>
          <w:rFonts w:hint="eastAsia" w:ascii="楷体" w:hAnsi="楷体" w:eastAsia="楷体" w:cs="楷体"/>
          <w:color w:val="000000"/>
          <w:sz w:val="28"/>
          <w:szCs w:val="28"/>
        </w:rPr>
        <w:t>。</w:t>
      </w:r>
    </w:p>
    <w:p>
      <w:pPr>
        <w:spacing w:line="520" w:lineRule="exact"/>
        <w:ind w:firstLine="560" w:firstLineChars="200"/>
        <w:rPr>
          <w:rFonts w:hint="eastAsia" w:ascii="楷体" w:hAnsi="楷体" w:eastAsia="楷体" w:cs="楷体"/>
          <w:b/>
          <w:bCs/>
          <w:kern w:val="0"/>
          <w:sz w:val="28"/>
          <w:szCs w:val="28"/>
        </w:rPr>
      </w:pPr>
      <w:r>
        <w:rPr>
          <w:rFonts w:hint="eastAsia" w:ascii="楷体" w:hAnsi="楷体" w:eastAsia="楷体" w:cs="楷体"/>
          <w:kern w:val="0"/>
          <w:sz w:val="28"/>
          <w:szCs w:val="28"/>
        </w:rPr>
        <w:t>（2）一般公共预算拨款支出决算总体情况说明</w:t>
      </w:r>
    </w:p>
    <w:p>
      <w:pPr>
        <w:spacing w:line="360" w:lineRule="auto"/>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2020</w:t>
      </w:r>
      <w:r>
        <w:rPr>
          <w:rFonts w:hint="eastAsia" w:ascii="楷体" w:hAnsi="楷体" w:eastAsia="楷体" w:cs="楷体"/>
          <w:color w:val="000000"/>
          <w:kern w:val="0"/>
          <w:sz w:val="28"/>
          <w:szCs w:val="28"/>
        </w:rPr>
        <w:t>年度一般公共预算财政拨款支出</w:t>
      </w:r>
      <w:r>
        <w:rPr>
          <w:rFonts w:hint="eastAsia" w:ascii="楷体" w:hAnsi="楷体" w:eastAsia="楷体" w:cs="楷体"/>
          <w:color w:val="000000"/>
          <w:kern w:val="0"/>
          <w:sz w:val="28"/>
          <w:szCs w:val="28"/>
          <w:lang w:val="en-US" w:eastAsia="zh-CN"/>
        </w:rPr>
        <w:t>20335885.94</w:t>
      </w:r>
      <w:r>
        <w:rPr>
          <w:rFonts w:hint="eastAsia" w:ascii="楷体" w:hAnsi="楷体" w:eastAsia="楷体" w:cs="楷体"/>
          <w:color w:val="000000"/>
          <w:kern w:val="0"/>
          <w:sz w:val="28"/>
          <w:szCs w:val="28"/>
        </w:rPr>
        <w:t>元，主要用于以下方面（按大类）：主要用于工资福利支出和商品和服务支出、项目支出。其中：社会保障和就业支出720785.68元，主要用于缴纳职工养老保险及基本医疗保险，占本年财政拨款支出</w:t>
      </w:r>
      <w:r>
        <w:rPr>
          <w:rFonts w:hint="eastAsia" w:ascii="楷体" w:hAnsi="楷体" w:eastAsia="楷体" w:cs="楷体"/>
          <w:color w:val="000000"/>
          <w:kern w:val="0"/>
          <w:sz w:val="28"/>
          <w:szCs w:val="28"/>
          <w:lang w:val="en-US" w:eastAsia="zh-CN"/>
        </w:rPr>
        <w:t>3.54</w:t>
      </w:r>
      <w:r>
        <w:rPr>
          <w:rFonts w:hint="eastAsia" w:ascii="楷体" w:hAnsi="楷体" w:eastAsia="楷体" w:cs="楷体"/>
          <w:color w:val="000000"/>
          <w:kern w:val="0"/>
          <w:sz w:val="28"/>
          <w:szCs w:val="28"/>
        </w:rPr>
        <w:t>%；卫生健康支出283200.00万元，主要用于缴纳部分职工医疗保险费，占本年财政拨款支出</w:t>
      </w:r>
      <w:r>
        <w:rPr>
          <w:rFonts w:hint="eastAsia" w:ascii="楷体" w:hAnsi="楷体" w:eastAsia="楷体" w:cs="楷体"/>
          <w:color w:val="000000"/>
          <w:kern w:val="0"/>
          <w:sz w:val="28"/>
          <w:szCs w:val="28"/>
          <w:lang w:val="en-US" w:eastAsia="zh-CN"/>
        </w:rPr>
        <w:t>1.39</w:t>
      </w:r>
      <w:r>
        <w:rPr>
          <w:rFonts w:hint="eastAsia" w:ascii="楷体" w:hAnsi="楷体" w:eastAsia="楷体" w:cs="楷体"/>
          <w:color w:val="000000"/>
          <w:kern w:val="0"/>
          <w:sz w:val="28"/>
          <w:szCs w:val="28"/>
        </w:rPr>
        <w:t>%；住房保障支出</w:t>
      </w:r>
      <w:r>
        <w:rPr>
          <w:rFonts w:hint="eastAsia" w:ascii="楷体" w:hAnsi="楷体" w:eastAsia="楷体" w:cs="楷体"/>
          <w:color w:val="000000"/>
          <w:kern w:val="0"/>
          <w:sz w:val="28"/>
          <w:szCs w:val="28"/>
          <w:lang w:val="en-US" w:eastAsia="zh-CN"/>
        </w:rPr>
        <w:t>227000.00</w:t>
      </w:r>
      <w:r>
        <w:rPr>
          <w:rFonts w:hint="eastAsia" w:ascii="楷体" w:hAnsi="楷体" w:eastAsia="楷体" w:cs="楷体"/>
          <w:color w:val="000000"/>
          <w:kern w:val="0"/>
          <w:sz w:val="28"/>
          <w:szCs w:val="28"/>
        </w:rPr>
        <w:t>元，主要用于缴纳在职部分职工住房公积金占本年财政拨款支出</w:t>
      </w:r>
      <w:r>
        <w:rPr>
          <w:rFonts w:hint="eastAsia" w:ascii="楷体" w:hAnsi="楷体" w:eastAsia="楷体" w:cs="楷体"/>
          <w:color w:val="000000"/>
          <w:kern w:val="0"/>
          <w:sz w:val="28"/>
          <w:szCs w:val="28"/>
          <w:lang w:val="en-US" w:eastAsia="zh-CN"/>
        </w:rPr>
        <w:t>1.12</w:t>
      </w:r>
      <w:r>
        <w:rPr>
          <w:rFonts w:hint="eastAsia" w:ascii="楷体" w:hAnsi="楷体" w:eastAsia="楷体" w:cs="楷体"/>
          <w:color w:val="000000"/>
          <w:kern w:val="0"/>
          <w:sz w:val="28"/>
          <w:szCs w:val="28"/>
        </w:rPr>
        <w:t>%。</w:t>
      </w:r>
    </w:p>
    <w:p>
      <w:pPr>
        <w:spacing w:line="52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（3）财政拨款支出经济分类决算情况说明</w:t>
      </w:r>
    </w:p>
    <w:p>
      <w:pPr>
        <w:spacing w:line="52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 20</w:t>
      </w:r>
      <w:r>
        <w:rPr>
          <w:rFonts w:hint="eastAsia" w:ascii="楷体" w:hAnsi="楷体" w:eastAsia="楷体" w:cs="楷体"/>
          <w:color w:val="000000"/>
          <w:kern w:val="0"/>
          <w:sz w:val="28"/>
          <w:szCs w:val="28"/>
          <w:lang w:val="en-US" w:eastAsia="zh-CN"/>
        </w:rPr>
        <w:t>20</w:t>
      </w:r>
      <w:r>
        <w:rPr>
          <w:rFonts w:hint="eastAsia" w:ascii="楷体" w:hAnsi="楷体" w:eastAsia="楷体" w:cs="楷体"/>
          <w:color w:val="000000"/>
          <w:kern w:val="0"/>
          <w:sz w:val="28"/>
          <w:szCs w:val="28"/>
        </w:rPr>
        <w:t>年本部门使用财政拨款安排基本支出</w:t>
      </w:r>
      <w:r>
        <w:rPr>
          <w:rFonts w:hint="eastAsia" w:ascii="楷体" w:hAnsi="楷体" w:eastAsia="楷体" w:cs="楷体"/>
          <w:sz w:val="28"/>
          <w:szCs w:val="28"/>
          <w:lang w:val="zh-CN"/>
        </w:rPr>
        <w:t>18342326.33</w:t>
      </w:r>
      <w:r>
        <w:rPr>
          <w:rFonts w:hint="eastAsia" w:ascii="楷体" w:hAnsi="楷体" w:eastAsia="楷体" w:cs="楷体"/>
          <w:color w:val="000000"/>
          <w:kern w:val="0"/>
          <w:sz w:val="28"/>
          <w:szCs w:val="28"/>
        </w:rPr>
        <w:t>元，其中：（1）工资福利支出包括基本工资、津贴补贴、奖金、社会保障缴费、伙食补助费、住房公积金、其他工资福利支出；（2）商品和服务支出包括办公费、印刷费、水费、电费、差旅费、劳务费、专用材料、邮电费、培训费、公务接待费、工会经费、其他交通费、其他商品和服务支出；（3）对个人和家庭补助支出包括</w:t>
      </w:r>
      <w:r>
        <w:rPr>
          <w:rFonts w:hint="eastAsia" w:ascii="楷体" w:hAnsi="楷体" w:eastAsia="楷体" w:cs="楷体"/>
          <w:color w:val="000000"/>
          <w:kern w:val="0"/>
          <w:sz w:val="28"/>
          <w:szCs w:val="28"/>
          <w:lang w:eastAsia="zh-CN"/>
        </w:rPr>
        <w:t>退休人员工资、</w:t>
      </w:r>
      <w:r>
        <w:rPr>
          <w:rFonts w:hint="eastAsia" w:ascii="楷体" w:hAnsi="楷体" w:eastAsia="楷体" w:cs="楷体"/>
          <w:color w:val="000000"/>
          <w:kern w:val="0"/>
          <w:sz w:val="28"/>
          <w:szCs w:val="28"/>
        </w:rPr>
        <w:t>生活补助、奖励金、其他对个人和家庭的补助支出等。项目支出</w:t>
      </w:r>
      <w:r>
        <w:rPr>
          <w:rFonts w:hint="eastAsia" w:ascii="楷体" w:hAnsi="楷体" w:eastAsia="楷体" w:cs="楷体"/>
          <w:color w:val="000000"/>
          <w:kern w:val="0"/>
          <w:sz w:val="28"/>
          <w:szCs w:val="28"/>
          <w:lang w:val="en-US" w:eastAsia="zh-CN"/>
        </w:rPr>
        <w:t>1993559.61</w:t>
      </w:r>
      <w:r>
        <w:rPr>
          <w:rFonts w:hint="eastAsia" w:ascii="楷体" w:hAnsi="楷体" w:eastAsia="楷体" w:cs="楷体"/>
          <w:color w:val="000000"/>
          <w:kern w:val="0"/>
          <w:sz w:val="28"/>
          <w:szCs w:val="28"/>
        </w:rPr>
        <w:t>元，主要是商品和服务支出，包括：</w:t>
      </w:r>
      <w:r>
        <w:rPr>
          <w:rFonts w:hint="eastAsia" w:ascii="楷体" w:hAnsi="楷体" w:eastAsia="楷体" w:cs="楷体"/>
          <w:color w:val="000000"/>
          <w:kern w:val="0"/>
          <w:sz w:val="28"/>
          <w:szCs w:val="28"/>
          <w:lang w:eastAsia="zh-CN"/>
        </w:rPr>
        <w:t>疫情防控、</w:t>
      </w:r>
      <w:r>
        <w:rPr>
          <w:rFonts w:hint="eastAsia" w:ascii="楷体" w:hAnsi="楷体" w:eastAsia="楷体" w:cs="楷体"/>
          <w:color w:val="000000"/>
          <w:kern w:val="0"/>
          <w:sz w:val="28"/>
          <w:szCs w:val="28"/>
        </w:rPr>
        <w:t>执法办案、市场监管、食品安全、非公党建、化妆品事务等专项支出。</w:t>
      </w:r>
    </w:p>
    <w:p>
      <w:pPr>
        <w:widowControl/>
        <w:spacing w:line="520" w:lineRule="exact"/>
        <w:ind w:firstLine="562" w:firstLineChars="200"/>
        <w:jc w:val="left"/>
        <w:rPr>
          <w:rFonts w:hint="eastAsia" w:ascii="楷体" w:hAnsi="楷体" w:eastAsia="楷体" w:cs="楷体"/>
          <w:b/>
          <w:sz w:val="28"/>
          <w:szCs w:val="28"/>
        </w:rPr>
      </w:pPr>
      <w:r>
        <w:rPr>
          <w:rFonts w:hint="eastAsia" w:ascii="楷体" w:hAnsi="楷体" w:eastAsia="楷体" w:cs="楷体"/>
          <w:b/>
          <w:sz w:val="28"/>
          <w:szCs w:val="28"/>
        </w:rPr>
        <w:t>(三）年末结转和结余情况。</w:t>
      </w:r>
    </w:p>
    <w:p>
      <w:pPr>
        <w:widowControl/>
        <w:spacing w:line="520" w:lineRule="exact"/>
        <w:ind w:firstLine="560" w:firstLineChars="200"/>
        <w:jc w:val="left"/>
        <w:rPr>
          <w:rFonts w:hint="eastAsia" w:ascii="楷体" w:hAnsi="楷体" w:eastAsia="楷体" w:cs="楷体"/>
          <w:color w:val="000000"/>
          <w:kern w:val="0"/>
          <w:sz w:val="28"/>
          <w:szCs w:val="28"/>
        </w:rPr>
      </w:pPr>
      <w:r>
        <w:rPr>
          <w:rFonts w:hint="eastAsia" w:ascii="楷体" w:hAnsi="楷体" w:eastAsia="楷体" w:cs="楷体"/>
          <w:sz w:val="28"/>
          <w:szCs w:val="28"/>
        </w:rPr>
        <w:t>年末资金结转结余</w:t>
      </w:r>
      <w:r>
        <w:rPr>
          <w:rFonts w:hint="eastAsia" w:ascii="楷体" w:hAnsi="楷体" w:eastAsia="楷体" w:cs="楷体"/>
          <w:sz w:val="28"/>
          <w:szCs w:val="28"/>
          <w:lang w:val="en-US" w:eastAsia="zh-CN"/>
        </w:rPr>
        <w:t>768806.46</w:t>
      </w:r>
      <w:r>
        <w:rPr>
          <w:rFonts w:hint="eastAsia" w:ascii="楷体" w:hAnsi="楷体" w:eastAsia="楷体" w:cs="楷体"/>
          <w:sz w:val="28"/>
          <w:szCs w:val="28"/>
        </w:rPr>
        <w:t>元，其中：基本支出结</w:t>
      </w:r>
      <w:r>
        <w:rPr>
          <w:rFonts w:hint="eastAsia" w:ascii="楷体" w:hAnsi="楷体" w:eastAsia="楷体" w:cs="楷体"/>
          <w:sz w:val="28"/>
          <w:szCs w:val="28"/>
          <w:lang w:eastAsia="zh-CN"/>
        </w:rPr>
        <w:t>转</w:t>
      </w:r>
      <w:r>
        <w:rPr>
          <w:rFonts w:hint="eastAsia" w:ascii="楷体" w:hAnsi="楷体" w:eastAsia="楷体" w:cs="楷体"/>
          <w:sz w:val="28"/>
          <w:szCs w:val="28"/>
        </w:rPr>
        <w:t>326033.72元，项目支出结转442772.74元。</w:t>
      </w:r>
    </w:p>
    <w:p>
      <w:pPr>
        <w:snapToGrid w:val="0"/>
        <w:spacing w:line="520" w:lineRule="exact"/>
        <w:ind w:firstLine="562" w:firstLineChars="200"/>
        <w:rPr>
          <w:rFonts w:hint="eastAsia" w:ascii="楷体" w:hAnsi="楷体" w:eastAsia="楷体" w:cs="楷体"/>
          <w:b/>
          <w:sz w:val="28"/>
          <w:szCs w:val="28"/>
        </w:rPr>
      </w:pPr>
      <w:bookmarkStart w:id="2" w:name="YS060103"/>
      <w:r>
        <w:rPr>
          <w:rFonts w:hint="eastAsia" w:ascii="楷体" w:hAnsi="楷体" w:eastAsia="楷体" w:cs="楷体"/>
          <w:b/>
          <w:sz w:val="28"/>
          <w:szCs w:val="28"/>
        </w:rPr>
        <w:t>（四）绩效目标完成情况。</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1.绩效管理工作开展情况</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为进一步规范财政资金管理，强化部门绩效和责任意识，切实提高财政资金使用效益。根据《中华人民共和国预算法》关于“各级政府、各部门、各单位应当对预算支出情况开展绩效评价”的规定，我单位对20</w:t>
      </w:r>
      <w:r>
        <w:rPr>
          <w:rFonts w:hint="eastAsia" w:ascii="楷体" w:hAnsi="楷体" w:eastAsia="楷体" w:cs="楷体"/>
          <w:color w:val="000000"/>
          <w:sz w:val="28"/>
          <w:szCs w:val="28"/>
          <w:lang w:val="en-US" w:eastAsia="zh-CN"/>
        </w:rPr>
        <w:t>20</w:t>
      </w:r>
      <w:r>
        <w:rPr>
          <w:rFonts w:ascii="楷体" w:hAnsi="楷体" w:eastAsia="楷体" w:cs="楷体"/>
          <w:color w:val="000000"/>
          <w:sz w:val="28"/>
          <w:szCs w:val="28"/>
        </w:rPr>
        <w:t>年度部门整体支出资金开展了绩效评价工作。</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2.部门整体支出绩效情况</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20</w:t>
      </w:r>
      <w:r>
        <w:rPr>
          <w:rFonts w:hint="eastAsia" w:ascii="楷体" w:hAnsi="楷体" w:eastAsia="楷体" w:cs="楷体"/>
          <w:color w:val="000000"/>
          <w:sz w:val="28"/>
          <w:szCs w:val="28"/>
          <w:lang w:val="en-US" w:eastAsia="zh-CN"/>
        </w:rPr>
        <w:t>20</w:t>
      </w:r>
      <w:r>
        <w:rPr>
          <w:rFonts w:ascii="楷体" w:hAnsi="楷体" w:eastAsia="楷体" w:cs="楷体"/>
          <w:color w:val="000000"/>
          <w:sz w:val="28"/>
          <w:szCs w:val="28"/>
        </w:rPr>
        <w:t>年，在区委、区政府的领导下，区市场监督管理局紧紧围绕工作大局，按照要求，积极应对各类挑战，努力克服各种困难，根据《部门整体支出绩效评价指标》认真落实工作。</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3.部门整体支出绩效评价存在的问题</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（1）预算编制不够细化</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（2）预算完成率有待提高</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（3）预算控制率有待降低</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（4）人员经费与公用经费存在调剂使用的情况</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（5）固定资产管理有待加强</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（6）个别事前审批执行事项有待完善</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4.部门整体支出绩效评价提出的改进措施和建议</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（1）细化预算管理，提升预算编制质量，提高资金使用效益</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建议严格按照《中华人民共和国预算法》及其实施条例的相关规定，加强预算编制的基础工作，细化预算管理，从严控制年中追加预算规模，减少频繁追加预算，切实提高预算编制的质量，在合理范围内加快资金支出进度，保障资金使用效益。</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（2）规范各项支出，严格按批复执行预算</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建议严把费用开支，严格按照预算项目支出，避免预算科目间的预算资金调剂，确需调剂的，按规定程序报经批准，并加强预算分析，将预算管理情况纳入各部门的年度绩效考核。</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（3）规范制度执行，确保资产资金安全</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为保证固定资产的安全和完整，单位应对固定资产进行定期或不定期的清查，保持账实相符。对清查盘点中发现的问题，应及时查明原因，说明情况，按管理权限及时作出处理。</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在经费审批方面，审批流程方面应严格执行行政单位会计制度，加强事前审批控制，经费审批严格做到无授权不可为。</w:t>
      </w:r>
    </w:p>
    <w:p>
      <w:pPr>
        <w:pStyle w:val="3"/>
        <w:shd w:val="clear" w:color="auto" w:fill="FFFFFF"/>
        <w:spacing w:before="0" w:beforeAutospacing="0" w:after="0" w:afterAutospacing="0" w:line="520" w:lineRule="exact"/>
        <w:ind w:firstLine="562" w:firstLineChars="200"/>
        <w:rPr>
          <w:rFonts w:ascii="楷体" w:hAnsi="楷体" w:eastAsia="楷体" w:cs="楷体"/>
          <w:b/>
          <w:color w:val="000000"/>
          <w:sz w:val="28"/>
          <w:szCs w:val="28"/>
        </w:rPr>
      </w:pPr>
      <w:r>
        <w:rPr>
          <w:rFonts w:ascii="楷体" w:hAnsi="楷体" w:eastAsia="楷体" w:cs="楷体"/>
          <w:b/>
          <w:sz w:val="28"/>
          <w:szCs w:val="28"/>
        </w:rPr>
        <w:t>（五）</w:t>
      </w:r>
      <w:r>
        <w:rPr>
          <w:rFonts w:ascii="楷体" w:hAnsi="楷体" w:eastAsia="楷体" w:cs="楷体"/>
          <w:b/>
          <w:color w:val="000000"/>
          <w:sz w:val="28"/>
          <w:szCs w:val="28"/>
        </w:rPr>
        <w:t>其他重要事项的情况说明</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1.机关（事业）运行经费20</w:t>
      </w:r>
      <w:r>
        <w:rPr>
          <w:rFonts w:hint="eastAsia" w:ascii="楷体" w:hAnsi="楷体" w:eastAsia="楷体" w:cs="楷体"/>
          <w:color w:val="000000"/>
          <w:sz w:val="28"/>
          <w:szCs w:val="28"/>
          <w:lang w:val="en-US" w:eastAsia="zh-CN"/>
        </w:rPr>
        <w:t>20</w:t>
      </w:r>
      <w:r>
        <w:rPr>
          <w:rFonts w:ascii="楷体" w:hAnsi="楷体" w:eastAsia="楷体" w:cs="楷体"/>
          <w:color w:val="000000"/>
          <w:sz w:val="28"/>
          <w:szCs w:val="28"/>
        </w:rPr>
        <w:t>年邵阳市大祥区</w:t>
      </w:r>
      <w:r>
        <w:rPr>
          <w:rFonts w:hint="eastAsia" w:ascii="楷体" w:hAnsi="楷体" w:eastAsia="楷体" w:cs="楷体"/>
          <w:color w:val="000000"/>
          <w:sz w:val="28"/>
          <w:szCs w:val="28"/>
          <w:lang w:eastAsia="zh-CN"/>
        </w:rPr>
        <w:t>市场监督管理局</w:t>
      </w:r>
      <w:r>
        <w:rPr>
          <w:rFonts w:ascii="楷体" w:hAnsi="楷体" w:eastAsia="楷体" w:cs="楷体"/>
          <w:color w:val="000000"/>
          <w:sz w:val="28"/>
          <w:szCs w:val="28"/>
        </w:rPr>
        <w:t>机关（事业）运行经费财政拨款决</w:t>
      </w:r>
      <w:r>
        <w:rPr>
          <w:rFonts w:hint="eastAsia" w:ascii="楷体" w:hAnsi="楷体" w:eastAsia="楷体" w:cs="楷体"/>
          <w:color w:val="000000"/>
          <w:sz w:val="28"/>
          <w:szCs w:val="28"/>
        </w:rPr>
        <w:t>算</w:t>
      </w:r>
      <w:r>
        <w:rPr>
          <w:rFonts w:hint="eastAsia" w:ascii="楷体" w:hAnsi="楷体" w:eastAsia="楷体" w:cs="楷体"/>
          <w:bCs/>
          <w:color w:val="000000"/>
          <w:sz w:val="28"/>
          <w:szCs w:val="28"/>
          <w:lang w:val="en-US" w:eastAsia="zh-CN" w:bidi="ar"/>
        </w:rPr>
        <w:t>285.81</w:t>
      </w:r>
      <w:r>
        <w:rPr>
          <w:rFonts w:hint="eastAsia" w:ascii="楷体" w:hAnsi="楷体" w:eastAsia="楷体" w:cs="楷体"/>
          <w:color w:val="000000"/>
          <w:sz w:val="28"/>
          <w:szCs w:val="28"/>
        </w:rPr>
        <w:t>万元</w:t>
      </w:r>
      <w:r>
        <w:rPr>
          <w:rFonts w:ascii="楷体" w:hAnsi="楷体" w:eastAsia="楷体" w:cs="楷体"/>
          <w:color w:val="000000"/>
          <w:sz w:val="28"/>
          <w:szCs w:val="28"/>
        </w:rPr>
        <w:t>。</w:t>
      </w:r>
      <w:r>
        <w:rPr>
          <w:rFonts w:hint="eastAsia" w:ascii="楷体" w:hAnsi="楷体" w:eastAsia="楷体" w:cs="楷体"/>
          <w:color w:val="000000"/>
          <w:sz w:val="28"/>
          <w:szCs w:val="28"/>
          <w:lang w:eastAsia="zh-CN"/>
        </w:rPr>
        <w:t>主要用于全局</w:t>
      </w:r>
      <w:r>
        <w:rPr>
          <w:rFonts w:hint="eastAsia" w:ascii="楷体" w:hAnsi="楷体" w:eastAsia="楷体" w:cs="楷体"/>
          <w:color w:val="000000"/>
          <w:kern w:val="0"/>
          <w:sz w:val="28"/>
          <w:szCs w:val="28"/>
        </w:rPr>
        <w:t>办公费、印刷费、水费、电费、差旅费、劳务费、专用材料、邮电费、培训费、公务接待费、工会经费、其他交通费、其他商品和服务支出</w:t>
      </w:r>
      <w:r>
        <w:rPr>
          <w:rFonts w:ascii="楷体" w:hAnsi="楷体" w:eastAsia="楷体" w:cs="楷体"/>
          <w:color w:val="000000"/>
          <w:sz w:val="28"/>
          <w:szCs w:val="28"/>
        </w:rPr>
        <w:t>。</w:t>
      </w:r>
    </w:p>
    <w:p>
      <w:pPr>
        <w:pStyle w:val="3"/>
        <w:shd w:val="clear" w:color="auto" w:fill="FFFFFF"/>
        <w:spacing w:before="0" w:beforeAutospacing="0" w:after="0" w:afterAutospacing="0" w:line="520" w:lineRule="exact"/>
        <w:ind w:firstLine="560" w:firstLineChars="200"/>
        <w:rPr>
          <w:rFonts w:hint="default" w:ascii="楷体" w:hAnsi="楷体" w:eastAsia="楷体" w:cs="楷体"/>
          <w:color w:val="000000"/>
          <w:sz w:val="28"/>
          <w:szCs w:val="28"/>
          <w:lang w:val="en-US" w:eastAsia="zh-CN"/>
        </w:rPr>
      </w:pPr>
      <w:r>
        <w:rPr>
          <w:rFonts w:ascii="楷体" w:hAnsi="楷体" w:eastAsia="楷体" w:cs="楷体"/>
          <w:color w:val="000000"/>
          <w:sz w:val="28"/>
          <w:szCs w:val="28"/>
        </w:rPr>
        <w:t>2.政府采购情况本年度政采购</w:t>
      </w:r>
      <w:r>
        <w:rPr>
          <w:rFonts w:hint="eastAsia" w:ascii="楷体" w:hAnsi="楷体" w:eastAsia="楷体" w:cs="楷体"/>
          <w:color w:val="000000"/>
          <w:sz w:val="28"/>
          <w:szCs w:val="28"/>
          <w:lang w:val="en-US" w:eastAsia="zh-CN"/>
        </w:rPr>
        <w:t>105.73</w:t>
      </w:r>
      <w:r>
        <w:rPr>
          <w:rFonts w:ascii="楷体" w:hAnsi="楷体" w:eastAsia="楷体" w:cs="楷体"/>
          <w:color w:val="000000"/>
          <w:sz w:val="28"/>
          <w:szCs w:val="28"/>
        </w:rPr>
        <w:t>万元。</w:t>
      </w:r>
      <w:r>
        <w:rPr>
          <w:rFonts w:hint="eastAsia" w:ascii="楷体" w:hAnsi="楷体" w:eastAsia="楷体" w:cs="楷体"/>
          <w:color w:val="000000"/>
          <w:sz w:val="28"/>
          <w:szCs w:val="28"/>
          <w:lang w:eastAsia="zh-CN"/>
        </w:rPr>
        <w:t>政府采购货物支出</w:t>
      </w:r>
      <w:r>
        <w:rPr>
          <w:rFonts w:hint="eastAsia" w:ascii="楷体" w:hAnsi="楷体" w:eastAsia="楷体" w:cs="楷体"/>
          <w:color w:val="000000"/>
          <w:sz w:val="28"/>
          <w:szCs w:val="28"/>
          <w:lang w:val="en-US" w:eastAsia="zh-CN"/>
        </w:rPr>
        <w:t>78.83万元，服务支出26.9万元。</w:t>
      </w:r>
    </w:p>
    <w:p>
      <w:pPr>
        <w:pStyle w:val="3"/>
        <w:shd w:val="clear" w:color="auto" w:fill="FFFFFF"/>
        <w:spacing w:before="0" w:beforeAutospacing="0" w:after="0" w:afterAutospacing="0" w:line="520" w:lineRule="exact"/>
        <w:ind w:firstLine="560" w:firstLineChars="200"/>
        <w:rPr>
          <w:rFonts w:ascii="楷体" w:hAnsi="楷体" w:eastAsia="楷体" w:cs="楷体"/>
          <w:color w:val="000000"/>
          <w:sz w:val="28"/>
          <w:szCs w:val="28"/>
        </w:rPr>
      </w:pPr>
      <w:r>
        <w:rPr>
          <w:rFonts w:ascii="楷体" w:hAnsi="楷体" w:eastAsia="楷体" w:cs="楷体"/>
          <w:color w:val="000000"/>
          <w:sz w:val="28"/>
          <w:szCs w:val="28"/>
        </w:rPr>
        <w:t>3.国有资产占有使用情况本单位年末7台车辆。原邵阳市工商行政管理局大祥分局资产划拨6台车辆，2018年省食品药品监督管理局下拨快速检测车辆一台。20</w:t>
      </w:r>
      <w:r>
        <w:rPr>
          <w:rFonts w:hint="eastAsia" w:ascii="楷体" w:hAnsi="楷体" w:eastAsia="楷体" w:cs="楷体"/>
          <w:color w:val="000000"/>
          <w:sz w:val="28"/>
          <w:szCs w:val="28"/>
          <w:lang w:val="en-US" w:eastAsia="zh-CN"/>
        </w:rPr>
        <w:t>20</w:t>
      </w:r>
      <w:r>
        <w:rPr>
          <w:rFonts w:ascii="楷体" w:hAnsi="楷体" w:eastAsia="楷体" w:cs="楷体"/>
          <w:color w:val="000000"/>
          <w:sz w:val="28"/>
          <w:szCs w:val="28"/>
        </w:rPr>
        <w:t>年年末无单价50万元以上通用设备。年末无单价100万元以上专用设备。</w:t>
      </w:r>
    </w:p>
    <w:p>
      <w:pPr>
        <w:snapToGrid w:val="0"/>
        <w:spacing w:line="520" w:lineRule="exact"/>
        <w:ind w:firstLine="562" w:firstLineChars="200"/>
        <w:rPr>
          <w:rFonts w:hint="eastAsia" w:ascii="楷体" w:hAnsi="楷体" w:eastAsia="楷体" w:cs="楷体"/>
          <w:b/>
          <w:sz w:val="28"/>
          <w:szCs w:val="28"/>
        </w:rPr>
      </w:pPr>
      <w:r>
        <w:rPr>
          <w:rFonts w:hint="eastAsia" w:ascii="楷体" w:hAnsi="楷体" w:eastAsia="楷体" w:cs="楷体"/>
          <w:b/>
          <w:sz w:val="28"/>
          <w:szCs w:val="28"/>
        </w:rPr>
        <w:t>（六）当年预算执行及绩效管理中存在问题、原因及改进措施。</w:t>
      </w:r>
    </w:p>
    <w:p>
      <w:pPr>
        <w:snapToGrid w:val="0"/>
        <w:spacing w:line="520" w:lineRule="exact"/>
        <w:ind w:firstLine="560" w:firstLineChars="200"/>
        <w:rPr>
          <w:rFonts w:hint="eastAsia" w:ascii="楷体" w:hAnsi="楷体" w:eastAsia="楷体" w:cs="楷体"/>
          <w:bCs/>
          <w:sz w:val="28"/>
          <w:szCs w:val="28"/>
        </w:rPr>
      </w:pPr>
      <w:r>
        <w:rPr>
          <w:rFonts w:hint="eastAsia" w:ascii="楷体" w:hAnsi="楷体" w:eastAsia="楷体" w:cs="楷体"/>
          <w:bCs/>
          <w:sz w:val="28"/>
          <w:szCs w:val="28"/>
        </w:rPr>
        <w:t>由于我局属于机构改革部门，在预算执行中没有严格按照预算科目安排资金使用，出现资金混用现象。</w:t>
      </w:r>
    </w:p>
    <w:p>
      <w:pPr>
        <w:snapToGrid w:val="0"/>
        <w:spacing w:line="520" w:lineRule="exact"/>
        <w:ind w:firstLine="560" w:firstLineChars="200"/>
        <w:rPr>
          <w:rFonts w:hint="eastAsia" w:ascii="楷体" w:hAnsi="楷体" w:eastAsia="楷体" w:cs="楷体"/>
          <w:bCs/>
          <w:sz w:val="28"/>
          <w:szCs w:val="28"/>
        </w:rPr>
      </w:pPr>
      <w:r>
        <w:rPr>
          <w:rFonts w:hint="eastAsia" w:ascii="楷体" w:hAnsi="楷体" w:eastAsia="楷体" w:cs="楷体"/>
          <w:bCs/>
          <w:sz w:val="28"/>
          <w:szCs w:val="28"/>
        </w:rPr>
        <w:t>在绩效管理中，我局严格按照上级要求，圆满完成上级交办的各项工作。在充分肯定成绩的同时，我们也要清醒看到存在的问题和挑战：一是市场监管部门机构改革取得重大进展，但股、所、队在职责划分、协调合作方面还有待提高，个别人员在工作落实、衔接方面还存在“等靠”思想；二是综合监管、综合执法正在加速推进，但目前市区两级事权划分尚未明确，在具体监管执法上存在一定困难；三是市场监管涉及方方面面，仅日常监管执法常用的法律法规有326部，干部职工的政治素养、监管能力、专业水平、作风纪律与承担的艰巨任务还有差距。</w:t>
      </w:r>
    </w:p>
    <w:bookmarkEnd w:id="2"/>
    <w:p>
      <w:pPr>
        <w:snapToGrid w:val="0"/>
        <w:spacing w:line="520" w:lineRule="exact"/>
        <w:ind w:firstLine="562" w:firstLineChars="200"/>
        <w:rPr>
          <w:rFonts w:hint="eastAsia" w:ascii="楷体" w:hAnsi="楷体" w:eastAsia="楷体" w:cs="楷体"/>
          <w:b/>
          <w:bCs/>
          <w:sz w:val="28"/>
          <w:szCs w:val="28"/>
        </w:rPr>
      </w:pPr>
      <w:bookmarkStart w:id="3" w:name="YS060104"/>
      <w:r>
        <w:rPr>
          <w:rFonts w:hint="eastAsia" w:ascii="楷体" w:hAnsi="楷体" w:eastAsia="楷体" w:cs="楷体"/>
          <w:b/>
          <w:bCs/>
          <w:sz w:val="28"/>
          <w:szCs w:val="28"/>
        </w:rPr>
        <w:t>三、本年度部门决算等财务工作开展情况</w:t>
      </w:r>
    </w:p>
    <w:p>
      <w:pPr>
        <w:snapToGrid w:val="0"/>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我局是改革单位，财务人员也是第一次接触决算工作，在很多工作上出现停滞和迷茫状态。但还是能尽自己最大的能力，加强自身业务学习，同时与区各部门加强沟通交流，努力完成区交办的各项工作。</w:t>
      </w:r>
    </w:p>
    <w:bookmarkEnd w:id="3"/>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5B411D"/>
    <w:multiLevelType w:val="singleLevel"/>
    <w:tmpl w:val="755B41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B725F"/>
    <w:rsid w:val="3157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Normal (Web)"/>
    <w:basedOn w:val="1"/>
    <w:qFormat/>
    <w:uiPriority w:val="99"/>
    <w:pPr>
      <w:widowControl/>
      <w:jc w:val="left"/>
    </w:pPr>
    <w:rPr>
      <w:rFonts w:ascii="宋体" w:hAnsi="宋体" w:cs="宋体"/>
      <w:kern w:val="0"/>
      <w:sz w:val="24"/>
    </w:rPr>
  </w:style>
  <w:style w:type="paragraph" w:styleId="6">
    <w:name w:val="List Paragraph"/>
    <w:basedOn w:val="1"/>
    <w:qFormat/>
    <w:uiPriority w:val="34"/>
    <w:pPr>
      <w:ind w:firstLine="420" w:firstLineChars="200"/>
    </w:pPr>
    <w:rPr>
      <w:rFonts w:ascii="Calibri" w:hAnsi="Calibri" w:eastAsia="宋体" w:cs="Times New Roman"/>
      <w:szCs w:val="22"/>
    </w:rPr>
  </w:style>
  <w:style w:type="character" w:customStyle="1" w:styleId="7">
    <w:name w:val="ca-22"/>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5910;&#20837;&#25903;&#2098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5910;&#20837;&#25903;&#2098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5910;&#20837;&#25903;&#2098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5910;&#20837;&#25903;&#20986;.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1.xml"/><Relationship Id="rId1" Type="http://schemas.openxmlformats.org/officeDocument/2006/relationships/oleObject" Target="file:///C:\Users\Administrator\Desktop\&#25910;&#20837;&#25903;&#209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tx>
            <c:strRef>
              <c:f>[收入支出.xlsx]收入!$B$1:$B$2</c:f>
              <c:strCache>
                <c:ptCount val="1"/>
                <c:pt idx="0">
                  <c:v>收入结构 收入数</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elete val="1"/>
          </c:dLbls>
          <c:cat>
            <c:strRef>
              <c:f>[收入支出.xlsx]收入!$A$3:$A$6</c:f>
              <c:strCache>
                <c:ptCount val="4"/>
                <c:pt idx="0">
                  <c:v>财政拨款收入</c:v>
                </c:pt>
                <c:pt idx="1">
                  <c:v>其他</c:v>
                </c:pt>
                <c:pt idx="2">
                  <c:v>上年结转结余</c:v>
                </c:pt>
                <c:pt idx="3">
                  <c:v>总计</c:v>
                </c:pt>
              </c:strCache>
            </c:strRef>
          </c:cat>
          <c:val>
            <c:numRef>
              <c:f>[收入支出.xlsx]收入!$B$3:$B$6</c:f>
              <c:numCache>
                <c:formatCode>General</c:formatCode>
                <c:ptCount val="4"/>
                <c:pt idx="0">
                  <c:v>2101.21</c:v>
                </c:pt>
                <c:pt idx="1">
                  <c:v>290.16</c:v>
                </c:pt>
                <c:pt idx="2">
                  <c:v>9.26</c:v>
                </c:pt>
                <c:pt idx="3">
                  <c:v>2400.63</c:v>
                </c:pt>
              </c:numCache>
            </c:numRef>
          </c:val>
        </c:ser>
        <c:ser>
          <c:idx val="1"/>
          <c:order val="1"/>
          <c:tx>
            <c:strRef>
              <c:f>[收入支出.xlsx]收入!$C$1:$C$2</c:f>
              <c:strCache>
                <c:ptCount val="1"/>
                <c:pt idx="0">
                  <c:v>收入结构 占总收入比重</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elete val="1"/>
          </c:dLbls>
          <c:cat>
            <c:strRef>
              <c:f>[收入支出.xlsx]收入!$A$3:$A$6</c:f>
              <c:strCache>
                <c:ptCount val="4"/>
                <c:pt idx="0">
                  <c:v>财政拨款收入</c:v>
                </c:pt>
                <c:pt idx="1">
                  <c:v>其他</c:v>
                </c:pt>
                <c:pt idx="2">
                  <c:v>上年结转结余</c:v>
                </c:pt>
                <c:pt idx="3">
                  <c:v>总计</c:v>
                </c:pt>
              </c:strCache>
            </c:strRef>
          </c:cat>
          <c:val>
            <c:numRef>
              <c:f>[收入支出.xlsx]收入!$C$3:$C$6</c:f>
              <c:numCache>
                <c:formatCode>0.00%</c:formatCode>
                <c:ptCount val="4"/>
                <c:pt idx="0">
                  <c:v>0.8753</c:v>
                </c:pt>
                <c:pt idx="1">
                  <c:v>0.1208</c:v>
                </c:pt>
                <c:pt idx="2">
                  <c:v>0.0039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0"/>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tx>
            <c:strRef>
              <c:f>[收入支出.xlsx]支出!$B$2</c:f>
              <c:strCache>
                <c:ptCount val="1"/>
                <c:pt idx="0">
                  <c:v>决算支出数</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elete val="1"/>
          </c:dLbls>
          <c:cat>
            <c:strRef>
              <c:f>[收入支出.xlsx]支出!$A$3:$A$7</c:f>
              <c:strCache>
                <c:ptCount val="5"/>
                <c:pt idx="0">
                  <c:v>工资福利支出</c:v>
                </c:pt>
                <c:pt idx="1">
                  <c:v>商品和服务支出</c:v>
                </c:pt>
                <c:pt idx="2">
                  <c:v>对个人和家庭补助</c:v>
                </c:pt>
                <c:pt idx="3">
                  <c:v>项目支出</c:v>
                </c:pt>
                <c:pt idx="4">
                  <c:v>总计</c:v>
                </c:pt>
              </c:strCache>
            </c:strRef>
          </c:cat>
          <c:val>
            <c:numRef>
              <c:f>[收入支出.xlsx]支出!$B$3:$B$7</c:f>
              <c:numCache>
                <c:formatCode>General</c:formatCode>
                <c:ptCount val="5"/>
                <c:pt idx="0">
                  <c:v>1500.49</c:v>
                </c:pt>
                <c:pt idx="1">
                  <c:v>295.57</c:v>
                </c:pt>
                <c:pt idx="2">
                  <c:v>327.82</c:v>
                </c:pt>
                <c:pt idx="3">
                  <c:v>199.87</c:v>
                </c:pt>
                <c:pt idx="4">
                  <c:v>2323.75</c:v>
                </c:pt>
              </c:numCache>
            </c:numRef>
          </c:val>
        </c:ser>
        <c:ser>
          <c:idx val="1"/>
          <c:order val="1"/>
          <c:tx>
            <c:strRef>
              <c:f>[收入支出.xlsx]支出!$C$2</c:f>
              <c:strCache>
                <c:ptCount val="1"/>
                <c:pt idx="0">
                  <c:v>占总支出比重</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elete val="1"/>
          </c:dLbls>
          <c:cat>
            <c:strRef>
              <c:f>[收入支出.xlsx]支出!$A$3:$A$7</c:f>
              <c:strCache>
                <c:ptCount val="5"/>
                <c:pt idx="0">
                  <c:v>工资福利支出</c:v>
                </c:pt>
                <c:pt idx="1">
                  <c:v>商品和服务支出</c:v>
                </c:pt>
                <c:pt idx="2">
                  <c:v>对个人和家庭补助</c:v>
                </c:pt>
                <c:pt idx="3">
                  <c:v>项目支出</c:v>
                </c:pt>
                <c:pt idx="4">
                  <c:v>总计</c:v>
                </c:pt>
              </c:strCache>
            </c:strRef>
          </c:cat>
          <c:val>
            <c:numRef>
              <c:f>[收入支出.xlsx]支出!$C$3:$C$7</c:f>
              <c:numCache>
                <c:formatCode>0.00%</c:formatCode>
                <c:ptCount val="5"/>
                <c:pt idx="0">
                  <c:v>0.6457</c:v>
                </c:pt>
                <c:pt idx="1">
                  <c:v>0.1272</c:v>
                </c:pt>
                <c:pt idx="2">
                  <c:v>0.1411</c:v>
                </c:pt>
                <c:pt idx="3">
                  <c:v>0.086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barChart>
        <c:barDir val="col"/>
        <c:grouping val="stacked"/>
        <c:varyColors val="0"/>
        <c:ser>
          <c:idx val="0"/>
          <c:order val="0"/>
          <c:tx>
            <c:strRef>
              <c:f>[收入支出.xlsx]Sheet1!$B$1:$B$2</c:f>
              <c:strCache>
                <c:ptCount val="1"/>
                <c:pt idx="0">
                  <c:v>“三公”经费支出情况 预算数（元）</c:v>
                </c:pt>
              </c:strCache>
            </c:strRef>
          </c:tx>
          <c:spPr>
            <a:solidFill>
              <a:srgbClr val="4F81BD"/>
            </a:solidFill>
            <a:ln>
              <a:noFill/>
            </a:ln>
            <a:effectLst/>
          </c:spPr>
          <c:invertIfNegative val="0"/>
          <c:dLbls>
            <c:delete val="1"/>
          </c:dLbls>
          <c:cat>
            <c:strRef>
              <c:f>[收入支出.xlsx]Sheet1!$A$3:$A$8</c:f>
              <c:strCache>
                <c:ptCount val="6"/>
                <c:pt idx="0">
                  <c:v>公务接待费</c:v>
                </c:pt>
                <c:pt idx="1">
                  <c:v>公务用车运行维护费</c:v>
                </c:pt>
                <c:pt idx="2">
                  <c:v>公务用车购置</c:v>
                </c:pt>
                <c:pt idx="3">
                  <c:v>合计</c:v>
                </c:pt>
                <c:pt idx="4">
                  <c:v> </c:v>
                </c:pt>
                <c:pt idx="5">
                  <c:v> </c:v>
                </c:pt>
              </c:strCache>
            </c:strRef>
          </c:cat>
          <c:val>
            <c:numRef>
              <c:f>[收入支出.xlsx]Sheet1!$B$3:$B$8</c:f>
              <c:numCache>
                <c:formatCode>General</c:formatCode>
                <c:ptCount val="6"/>
                <c:pt idx="0">
                  <c:v>20000</c:v>
                </c:pt>
                <c:pt idx="3">
                  <c:v>20000</c:v>
                </c:pt>
              </c:numCache>
            </c:numRef>
          </c:val>
        </c:ser>
        <c:ser>
          <c:idx val="1"/>
          <c:order val="1"/>
          <c:tx>
            <c:strRef>
              <c:f>[收入支出.xlsx]Sheet1!$C$1:$C$2</c:f>
              <c:strCache>
                <c:ptCount val="1"/>
                <c:pt idx="0">
                  <c:v>“三公”经费支出情况 决算数（元）</c:v>
                </c:pt>
              </c:strCache>
            </c:strRef>
          </c:tx>
          <c:spPr>
            <a:solidFill>
              <a:srgbClr val="C0504D"/>
            </a:solidFill>
            <a:ln>
              <a:noFill/>
            </a:ln>
            <a:effectLst/>
          </c:spPr>
          <c:invertIfNegative val="0"/>
          <c:dLbls>
            <c:delete val="1"/>
          </c:dLbls>
          <c:cat>
            <c:strRef>
              <c:f>[收入支出.xlsx]Sheet1!$A$3:$A$8</c:f>
              <c:strCache>
                <c:ptCount val="6"/>
                <c:pt idx="0">
                  <c:v>公务接待费</c:v>
                </c:pt>
                <c:pt idx="1">
                  <c:v>公务用车运行维护费</c:v>
                </c:pt>
                <c:pt idx="2">
                  <c:v>公务用车购置</c:v>
                </c:pt>
                <c:pt idx="3">
                  <c:v>合计</c:v>
                </c:pt>
                <c:pt idx="4">
                  <c:v> </c:v>
                </c:pt>
                <c:pt idx="5">
                  <c:v> </c:v>
                </c:pt>
              </c:strCache>
            </c:strRef>
          </c:cat>
          <c:val>
            <c:numRef>
              <c:f>[收入支出.xlsx]Sheet1!$C$3:$C$8</c:f>
              <c:numCache>
                <c:formatCode>General</c:formatCode>
                <c:ptCount val="6"/>
                <c:pt idx="0">
                  <c:v>0</c:v>
                </c:pt>
                <c:pt idx="1">
                  <c:v>26108.91</c:v>
                </c:pt>
                <c:pt idx="3">
                  <c:v>26108.91</c:v>
                </c:pt>
              </c:numCache>
            </c:numRef>
          </c:val>
        </c:ser>
        <c:ser>
          <c:idx val="2"/>
          <c:order val="2"/>
          <c:tx>
            <c:strRef>
              <c:f>[收入支出.xlsx]Sheet1!$D$1:$D$2</c:f>
              <c:strCache>
                <c:ptCount val="1"/>
                <c:pt idx="0">
                  <c:v>“三公”经费支出情况 预决算对比</c:v>
                </c:pt>
              </c:strCache>
            </c:strRef>
          </c:tx>
          <c:spPr>
            <a:solidFill>
              <a:srgbClr val="9BBB59"/>
            </a:solidFill>
            <a:ln>
              <a:noFill/>
            </a:ln>
            <a:effectLst/>
          </c:spPr>
          <c:invertIfNegative val="0"/>
          <c:dLbls>
            <c:delete val="1"/>
          </c:dLbls>
          <c:cat>
            <c:strRef>
              <c:f>[收入支出.xlsx]Sheet1!$A$3:$A$8</c:f>
              <c:strCache>
                <c:ptCount val="6"/>
                <c:pt idx="0">
                  <c:v>公务接待费</c:v>
                </c:pt>
                <c:pt idx="1">
                  <c:v>公务用车运行维护费</c:v>
                </c:pt>
                <c:pt idx="2">
                  <c:v>公务用车购置</c:v>
                </c:pt>
                <c:pt idx="3">
                  <c:v>合计</c:v>
                </c:pt>
                <c:pt idx="4">
                  <c:v> </c:v>
                </c:pt>
                <c:pt idx="5">
                  <c:v> </c:v>
                </c:pt>
              </c:strCache>
            </c:strRef>
          </c:cat>
          <c:val>
            <c:numRef>
              <c:f>[收入支出.xlsx]Sheet1!$D$3:$D$8</c:f>
              <c:numCache>
                <c:formatCode>General</c:formatCode>
                <c:ptCount val="6"/>
                <c:pt idx="0">
                  <c:v>20000</c:v>
                </c:pt>
                <c:pt idx="1">
                  <c:v>-26108.91</c:v>
                </c:pt>
                <c:pt idx="3">
                  <c:v>-6108.91</c:v>
                </c:pt>
              </c:numCache>
            </c:numRef>
          </c:val>
        </c:ser>
        <c:ser>
          <c:idx val="3"/>
          <c:order val="3"/>
          <c:tx>
            <c:strRef>
              <c:f>[收入支出.xlsx]Sheet1!$E$1:$E$2</c:f>
              <c:strCache>
                <c:ptCount val="1"/>
                <c:pt idx="0">
                  <c:v>“三公”经费支出情况 人均支出（元）</c:v>
                </c:pt>
              </c:strCache>
            </c:strRef>
          </c:tx>
          <c:spPr>
            <a:solidFill>
              <a:srgbClr val="8064A2"/>
            </a:solidFill>
            <a:ln>
              <a:noFill/>
            </a:ln>
            <a:effectLst/>
          </c:spPr>
          <c:invertIfNegative val="0"/>
          <c:dLbls>
            <c:delete val="1"/>
          </c:dLbls>
          <c:cat>
            <c:strRef>
              <c:f>[收入支出.xlsx]Sheet1!$A$3:$A$8</c:f>
              <c:strCache>
                <c:ptCount val="6"/>
                <c:pt idx="0">
                  <c:v>公务接待费</c:v>
                </c:pt>
                <c:pt idx="1">
                  <c:v>公务用车运行维护费</c:v>
                </c:pt>
                <c:pt idx="2">
                  <c:v>公务用车购置</c:v>
                </c:pt>
                <c:pt idx="3">
                  <c:v>合计</c:v>
                </c:pt>
                <c:pt idx="4">
                  <c:v> </c:v>
                </c:pt>
                <c:pt idx="5">
                  <c:v> </c:v>
                </c:pt>
              </c:strCache>
            </c:strRef>
          </c:cat>
          <c:val>
            <c:numRef>
              <c:f>[收入支出.xlsx]Sheet1!$E$3:$E$8</c:f>
              <c:numCache>
                <c:formatCode>General</c:formatCode>
                <c:ptCount val="6"/>
                <c:pt idx="0">
                  <c:v>0</c:v>
                </c:pt>
                <c:pt idx="1">
                  <c:v>237.35</c:v>
                </c:pt>
                <c:pt idx="3">
                  <c:v>55.54</c:v>
                </c:pt>
              </c:numCache>
            </c:numRef>
          </c:val>
        </c:ser>
        <c:dLbls>
          <c:showLegendKey val="0"/>
          <c:showVal val="0"/>
          <c:showCatName val="0"/>
          <c:showSerName val="0"/>
          <c:showPercent val="0"/>
          <c:showBubbleSize val="0"/>
        </c:dLbls>
        <c:gapWidth val="150"/>
        <c:overlap val="100"/>
        <c:axId val="453222289"/>
        <c:axId val="525042726"/>
      </c:barChart>
      <c:catAx>
        <c:axId val="453222289"/>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25042726"/>
        <c:crosses val="autoZero"/>
        <c:auto val="1"/>
        <c:lblAlgn val="ctr"/>
        <c:lblOffset val="100"/>
        <c:noMultiLvlLbl val="0"/>
      </c:catAx>
      <c:valAx>
        <c:axId val="52504272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532222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barChart>
        <c:barDir val="col"/>
        <c:grouping val="stacked"/>
        <c:varyColors val="0"/>
        <c:ser>
          <c:idx val="0"/>
          <c:order val="0"/>
          <c:tx>
            <c:strRef>
              <c:f>[收入支出.xlsx]Sheet2!$A$2</c:f>
              <c:strCache>
                <c:ptCount val="1"/>
                <c:pt idx="0">
                  <c:v>会议费</c:v>
                </c:pt>
              </c:strCache>
            </c:strRef>
          </c:tx>
          <c:spPr>
            <a:solidFill>
              <a:srgbClr val="4F81BD"/>
            </a:solidFill>
            <a:ln>
              <a:noFill/>
            </a:ln>
            <a:effectLst/>
          </c:spPr>
          <c:invertIfNegative val="0"/>
          <c:dLbls>
            <c:delete val="1"/>
          </c:dLbls>
          <c:cat>
            <c:strRef>
              <c:f>[收入支出.xlsx]Sheet2!$B$1:$E$1</c:f>
              <c:strCache>
                <c:ptCount val="4"/>
                <c:pt idx="0">
                  <c:v>预算数（元）</c:v>
                </c:pt>
                <c:pt idx="1">
                  <c:v>决算数（元）</c:v>
                </c:pt>
                <c:pt idx="2">
                  <c:v>预决算对比</c:v>
                </c:pt>
                <c:pt idx="3">
                  <c:v>人均支出（元）</c:v>
                </c:pt>
              </c:strCache>
            </c:strRef>
          </c:cat>
          <c:val>
            <c:numRef>
              <c:f>[收入支出.xlsx]Sheet2!$B$2:$E$2</c:f>
              <c:numCache>
                <c:formatCode>General</c:formatCode>
                <c:ptCount val="4"/>
                <c:pt idx="0">
                  <c:v>0</c:v>
                </c:pt>
                <c:pt idx="1">
                  <c:v>1800</c:v>
                </c:pt>
                <c:pt idx="2">
                  <c:v>-1800</c:v>
                </c:pt>
                <c:pt idx="3">
                  <c:v>0</c:v>
                </c:pt>
              </c:numCache>
            </c:numRef>
          </c:val>
        </c:ser>
        <c:dLbls>
          <c:showLegendKey val="0"/>
          <c:showVal val="0"/>
          <c:showCatName val="0"/>
          <c:showSerName val="0"/>
          <c:showPercent val="0"/>
          <c:showBubbleSize val="0"/>
        </c:dLbls>
        <c:gapWidth val="150"/>
        <c:overlap val="100"/>
        <c:axId val="164330751"/>
        <c:axId val="597624108"/>
      </c:barChart>
      <c:catAx>
        <c:axId val="164330751"/>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97624108"/>
        <c:crosses val="autoZero"/>
        <c:auto val="1"/>
        <c:lblAlgn val="ctr"/>
        <c:lblOffset val="100"/>
        <c:noMultiLvlLbl val="0"/>
      </c:catAx>
      <c:valAx>
        <c:axId val="597624108"/>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64330751"/>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cap="none" spc="0" normalizeH="0" baseline="0">
                <a:solidFill>
                  <a:srgbClr val="7F7F7F">
                    <a:lumMod val="50000"/>
                  </a:srgbClr>
                </a:solidFill>
                <a:latin typeface="微软雅黑" panose="020B0503020204020204" charset="-122"/>
                <a:ea typeface="微软雅黑" panose="020B0503020204020204" charset="-122"/>
                <a:cs typeface="+mj-cs"/>
              </a:defRPr>
            </a:pPr>
            <a:r>
              <a:t>标题</a:t>
            </a:r>
          </a:p>
        </c:rich>
      </c:tx>
      <c:layout/>
      <c:overlay val="0"/>
      <c:spPr>
        <a:noFill/>
        <a:ln>
          <a:noFill/>
        </a:ln>
        <a:effectLst/>
      </c:spPr>
    </c:title>
    <c:autoTitleDeleted val="0"/>
    <c:plotArea>
      <c:layout/>
      <c:lineChart>
        <c:grouping val="standard"/>
        <c:varyColors val="0"/>
        <c:ser>
          <c:idx val="0"/>
          <c:order val="0"/>
          <c:tx>
            <c:strRef>
              <c:f>[收入支出.xlsx]Sheet3!$A$2:$D$2</c:f>
              <c:strCache>
                <c:ptCount val="1"/>
                <c:pt idx="0">
                  <c:v>培训费 0 15000 -15000 </c:v>
                </c:pt>
              </c:strCache>
            </c:strRef>
          </c:tx>
          <c:spPr>
            <a:ln w="38100" cap="rnd">
              <a:solidFill>
                <a:srgbClr val="4F81BD"/>
              </a:solidFill>
              <a:round/>
            </a:ln>
            <a:effectLst/>
          </c:spPr>
          <c:marker>
            <c:symbol val="none"/>
          </c:marker>
          <c:dLbls>
            <c:delete val="1"/>
          </c:dLbls>
          <c:cat>
            <c:strRef>
              <c:f>[收入支出.xlsx]Sheet3!$E$1</c:f>
              <c:strCache>
                <c:ptCount val="1"/>
                <c:pt idx="0">
                  <c:v>人均支出（元）</c:v>
                </c:pt>
              </c:strCache>
            </c:strRef>
          </c:cat>
          <c:val>
            <c:numRef>
              <c:f>[收入支出.xlsx]Sheet3!$E$2</c:f>
              <c:numCache>
                <c:formatCode>General</c:formatCode>
                <c:ptCount val="1"/>
                <c:pt idx="0">
                  <c:v>0</c:v>
                </c:pt>
              </c:numCache>
            </c:numRef>
          </c:val>
          <c:smooth val="1"/>
        </c:ser>
        <c:dLbls>
          <c:showLegendKey val="0"/>
          <c:showVal val="0"/>
          <c:showCatName val="0"/>
          <c:showSerName val="0"/>
          <c:showPercent val="0"/>
          <c:showBubbleSize val="0"/>
        </c:dLbls>
        <c:marker val="0"/>
        <c:smooth val="1"/>
        <c:axId val="976431687"/>
        <c:axId val="134969218"/>
      </c:lineChart>
      <c:catAx>
        <c:axId val="976431687"/>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forceAA="0"/>
          <a:lstStyle/>
          <a:p>
            <a:pPr>
              <a:defRPr lang="zh-CN" sz="900" b="0" i="0" u="none" strike="noStrike" kern="1200" cap="none" spc="0" normalizeH="0" baseline="0">
                <a:solidFill>
                  <a:srgbClr val="A6A6A6">
                    <a:lumMod val="65000"/>
                  </a:srgbClr>
                </a:solidFill>
                <a:latin typeface="微软雅黑" panose="020B0503020204020204" charset="-122"/>
                <a:ea typeface="微软雅黑" panose="020B0503020204020204" charset="-122"/>
                <a:cs typeface="+mn-cs"/>
              </a:defRPr>
            </a:pPr>
          </a:p>
        </c:txPr>
        <c:crossAx val="134969218"/>
        <c:crosses val="autoZero"/>
        <c:auto val="1"/>
        <c:lblAlgn val="ctr"/>
        <c:lblOffset val="100"/>
        <c:noMultiLvlLbl val="0"/>
      </c:catAx>
      <c:valAx>
        <c:axId val="134969218"/>
        <c:scaling>
          <c:orientation val="minMax"/>
        </c:scaling>
        <c:delete val="0"/>
        <c:axPos val="l"/>
        <c:majorGridlines>
          <c:spPr>
            <a:ln w="9525" cap="flat" cmpd="sng" algn="ctr">
              <a:solidFill>
                <a:srgbClr val="D9D9D9">
                  <a:lumMod val="15000"/>
                  <a:lumOff val="85000"/>
                </a:srgbClr>
              </a:solidFill>
              <a:round/>
            </a:ln>
            <a:effectLst/>
          </c:spPr>
        </c:majorGridlines>
        <c:minorGridlines>
          <c:spPr>
            <a:ln w="9525" cap="flat" cmpd="sng" algn="ctr">
              <a:solidFill>
                <a:srgbClr val="F2F2F2">
                  <a:lumMod val="5000"/>
                  <a:lumOff val="95000"/>
                </a:srgbClr>
              </a:solidFill>
              <a:round/>
            </a:ln>
            <a:effectLst/>
          </c:spPr>
        </c:min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800" b="0" i="0" u="none" strike="noStrike" kern="1200" baseline="0">
                <a:solidFill>
                  <a:srgbClr val="A6A6A6">
                    <a:lumMod val="65000"/>
                  </a:srgbClr>
                </a:solidFill>
                <a:latin typeface="微软雅黑" panose="020B0503020204020204" charset="-122"/>
                <a:ea typeface="微软雅黑" panose="020B0503020204020204" charset="-122"/>
                <a:cs typeface="+mn-cs"/>
              </a:defRPr>
            </a:pPr>
          </a:p>
        </c:txPr>
        <c:crossAx val="976431687"/>
        <c:crosses val="autoZero"/>
        <c:crossBetween val="midCat"/>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800" b="0" i="0" u="none" strike="noStrike" kern="1200" baseline="0">
              <a:solidFill>
                <a:srgbClr val="A6A6A6">
                  <a:lumMod val="65000"/>
                </a:srgbClr>
              </a:solidFill>
              <a:latin typeface="微软雅黑" panose="020B0503020204020204" charset="-122"/>
              <a:ea typeface="微软雅黑" panose="020B0503020204020204" charset="-122"/>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35">
  <cs:axisTitle>
    <cs:lnRef idx="0"/>
    <cs:fillRef idx="0"/>
    <cs:effectRef idx="0"/>
    <cs:fontRef idx="minor">
      <a:srgbClr val="595959">
        <a:lumMod val="65000"/>
        <a:lumOff val="35000"/>
      </a:srgbClr>
    </cs:fontRef>
    <cs:defRPr sz="900" kern="1200" cap="all"/>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b="0" kern="1200" cap="none" spc="0" normalizeH="0" baseline="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404040">
        <a:lumMod val="75000"/>
        <a:lumOff val="25000"/>
      </a:srgbClr>
    </cs:fontRef>
    <cs:spPr>
      <a:solidFill>
        <a:srgbClr val="D9D9D9">
          <a:lumMod val="15000"/>
          <a:lumOff val="85000"/>
        </a:srgb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cs:spPr>
  </cs:dataPoint>
  <cs:dataPoint3D>
    <cs:lnRef idx="0"/>
    <cs:fillRef idx="0">
      <cs:styleClr val="auto"/>
    </cs:fillRef>
    <cs:effectRef idx="0"/>
    <cs:fontRef idx="minor">
      <a:srgbClr val="000000"/>
    </cs:fontRef>
    <cs:spPr>
      <a:solidFill>
        <a:srgbClr val="FFFFFF"/>
      </a:solidFill>
    </cs:spPr>
  </cs:dataPoint3D>
  <cs:dataPointLine>
    <cs:lnRef idx="0">
      <cs:styleClr val="auto"/>
    </cs:lnRef>
    <cs:fillRef idx="0"/>
    <cs:effectRef idx="0"/>
    <cs:fontRef idx="minor">
      <a:srgbClr val="000000"/>
    </cs:fontRef>
    <cs:spPr>
      <a:ln w="38100" cap="rnd">
        <a:solidFill>
          <a:srgbClr val="FFFFFF"/>
        </a:solidFill>
        <a:round/>
      </a:ln>
    </cs:spPr>
  </cs:dataPointLine>
  <cs:dataPointMarker>
    <cs:lnRef idx="0"/>
    <cs:fillRef idx="0">
      <cs:styleClr val="auto"/>
    </cs:fillRef>
    <cs:effectRef idx="0"/>
    <cs:fontRef idx="minor">
      <a:srgbClr val="000000"/>
    </cs:fontRef>
    <cs:spPr>
      <a:solidFill>
        <a:srgbClr val="FFFFFF"/>
      </a:solidFill>
    </cs:spPr>
  </cs:dataPointMarker>
  <cs:dataPointMarkerLayout symbol="circle" size="8"/>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808080">
            <a:lumMod val="50000"/>
            <a:lumOff val="50000"/>
          </a:srgbClr>
        </a:solidFill>
      </a:ln>
    </cs:spPr>
  </cs:downBar>
  <cs:dropLine>
    <cs:lnRef idx="0"/>
    <cs:fillRef idx="0"/>
    <cs:effectRef idx="0"/>
    <cs:fontRef idx="minor">
      <a:srgbClr val="000000"/>
    </cs:fontRef>
    <cs:spPr>
      <a:ln w="9525">
        <a:solidFill>
          <a:srgbClr val="808080">
            <a:lumMod val="50000"/>
            <a:lumOff val="50000"/>
          </a:srgbClr>
        </a:solidFill>
        <a:prstDash val="dash"/>
      </a:ln>
    </cs:spPr>
  </cs:dropLine>
  <cs:errorBar>
    <cs:lnRef idx="0"/>
    <cs:fillRef idx="0"/>
    <cs:effectRef idx="0"/>
    <cs:fontRef idx="minor">
      <a:srgbClr val="000000"/>
    </cs:fontRef>
    <cs:spPr>
      <a:ln w="9525">
        <a:solidFill>
          <a:srgbClr val="808080">
            <a:lumMod val="50000"/>
            <a:lumOff val="50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a:solidFill>
          <a:srgbClr val="808080">
            <a:lumMod val="50000"/>
            <a:lumOff val="50000"/>
          </a:srgbClr>
        </a:solidFill>
        <a:prstDash val="dash"/>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ajor">
      <a:srgbClr val="595959">
        <a:lumMod val="65000"/>
        <a:lumOff val="35000"/>
      </a:srgbClr>
    </cs:fontRef>
    <cs:defRPr sz="2000" b="0" kern="1200" cap="none" spc="0" normalizeH="0" baseline="0"/>
  </cs:title>
  <cs:trendline>
    <cs:lnRef idx="0">
      <cs:styleClr val="auto"/>
    </cs:lnRef>
    <cs:fillRef idx="0"/>
    <cs:effectRef idx="0"/>
    <cs:fontRef idx="minor">
      <a:srgbClr val="000000"/>
    </cs:fontRef>
    <cs:spPr>
      <a:ln w="19050" cap="rnd">
        <a:solidFill>
          <a:srgbClr val="FFFFFF"/>
        </a:solidFill>
        <a:round/>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808080">
            <a:lumMod val="50000"/>
            <a:lumOff val="50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8">
    <a:dk1>
      <a:sysClr val="windowText" lastClr="000000"/>
    </a:dk1>
    <a:lt1>
      <a:sysClr val="window" lastClr="FFFFFF"/>
    </a:lt1>
    <a:dk2>
      <a:srgbClr val="E44856"/>
    </a:dk2>
    <a:lt2>
      <a:srgbClr val="8D0F3E"/>
    </a:lt2>
    <a:accent1>
      <a:srgbClr val="055280"/>
    </a:accent1>
    <a:accent2>
      <a:srgbClr val="34B2E4"/>
    </a:accent2>
    <a:accent3>
      <a:srgbClr val="64D0D9"/>
    </a:accent3>
    <a:accent4>
      <a:srgbClr val="65DAAD"/>
    </a:accent4>
    <a:accent5>
      <a:srgbClr val="FFCD64"/>
    </a:accent5>
    <a:accent6>
      <a:srgbClr val="FE912A"/>
    </a:accent6>
    <a:hlink>
      <a:srgbClr val="5F5F5F"/>
    </a:hlink>
    <a:folHlink>
      <a:srgbClr val="919191"/>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2021-09-10T05:15:00Z</dcterms:created>
  <dc:creator>Administrator</dc:creator>
  <cp:lastModifiedBy>姚焱</cp:lastModifiedBy>
  <dcterms:modified xsi:type="dcterms:W3CDTF">2021-09-10T08:13:54Z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7FDA9A57469C45C483C39950038B7E08</vt:lpwstr>
  </property>
</Properties>
</file>