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jc w:val="center"/>
        <w:rPr>
          <w:rFonts w:hint="eastAsia" w:ascii="黑体" w:hAnsi="黑体" w:eastAsia="黑体" w:cs="黑体"/>
          <w:sz w:val="44"/>
          <w:szCs w:val="44"/>
        </w:rPr>
      </w:pPr>
      <w:r>
        <w:rPr>
          <w:rFonts w:hint="eastAsia" w:ascii="黑体" w:hAnsi="黑体" w:eastAsia="黑体" w:cs="黑体"/>
          <w:b/>
          <w:sz w:val="44"/>
          <w:szCs w:val="44"/>
          <w:shd w:val="clear" w:color="auto" w:fill="FFFFFF"/>
        </w:rPr>
        <w:t>2021年度部门整体支出绩效评价报告</w:t>
      </w:r>
    </w:p>
    <w:p>
      <w:pPr>
        <w:keepNext w:val="0"/>
        <w:keepLines w:val="0"/>
        <w:pageBreakBefore w:val="0"/>
        <w:widowControl/>
        <w:shd w:val="clear" w:color="auto" w:fill="FFFFFF"/>
        <w:kinsoku/>
        <w:wordWrap/>
        <w:overflowPunct/>
        <w:topLinePunct w:val="0"/>
        <w:autoSpaceDN/>
        <w:bidi w:val="0"/>
        <w:adjustRightInd/>
        <w:snapToGrid/>
        <w:spacing w:before="100" w:beforeAutospacing="1" w:after="100" w:afterAutospacing="1" w:line="400" w:lineRule="exact"/>
        <w:jc w:val="left"/>
        <w:textAlignment w:val="auto"/>
        <w:rPr>
          <w:rFonts w:hint="eastAsia" w:ascii="宋体" w:hAnsi="宋体"/>
          <w:kern w:val="0"/>
          <w:sz w:val="24"/>
          <w:szCs w:val="24"/>
          <w:shd w:val="clear" w:color="auto" w:fill="FFFFFF"/>
        </w:rPr>
      </w:pPr>
      <w:r>
        <w:rPr>
          <w:rFonts w:hint="eastAsia" w:ascii="宋体" w:hAnsi="宋体"/>
          <w:kern w:val="0"/>
          <w:sz w:val="28"/>
          <w:szCs w:val="28"/>
          <w:shd w:val="clear" w:color="auto" w:fill="FFFFFF"/>
        </w:rPr>
        <w:t>    </w:t>
      </w:r>
      <w:r>
        <w:rPr>
          <w:rFonts w:hint="eastAsia" w:ascii="宋体" w:hAnsi="宋体"/>
          <w:b/>
          <w:bCs/>
          <w:kern w:val="0"/>
          <w:sz w:val="28"/>
          <w:szCs w:val="28"/>
          <w:shd w:val="clear" w:color="auto" w:fill="FFFFFF"/>
        </w:rPr>
        <w:t>一、单位概况</w:t>
      </w:r>
    </w:p>
    <w:p>
      <w:pPr>
        <w:keepNext w:val="0"/>
        <w:keepLines w:val="0"/>
        <w:pageBreakBefore w:val="0"/>
        <w:widowControl w:val="0"/>
        <w:kinsoku/>
        <w:wordWrap/>
        <w:overflowPunct/>
        <w:topLinePunct w:val="0"/>
        <w:autoSpaceDE w:val="0"/>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宋体" w:hAnsi="宋体"/>
          <w:kern w:val="0"/>
          <w:sz w:val="28"/>
          <w:szCs w:val="28"/>
          <w:shd w:val="clear" w:color="auto" w:fill="FFFFFF"/>
        </w:rPr>
        <w:t> </w:t>
      </w:r>
      <w:r>
        <w:rPr>
          <w:rFonts w:cs="Calibri"/>
          <w:kern w:val="0"/>
          <w:sz w:val="28"/>
          <w:szCs w:val="28"/>
          <w:shd w:val="clear" w:color="auto" w:fill="FFFFFF"/>
        </w:rPr>
        <w:t>1</w:t>
      </w:r>
      <w:r>
        <w:rPr>
          <w:rFonts w:hint="eastAsia" w:ascii="宋体" w:hAnsi="宋体"/>
          <w:kern w:val="0"/>
          <w:sz w:val="28"/>
          <w:szCs w:val="28"/>
          <w:shd w:val="clear" w:color="auto" w:fill="FFFFFF"/>
        </w:rPr>
        <w:t>、</w:t>
      </w:r>
      <w:r>
        <w:rPr>
          <w:rFonts w:hint="eastAsia" w:asciiTheme="minorEastAsia" w:hAnsiTheme="minorEastAsia" w:eastAsiaTheme="minorEastAsia" w:cstheme="minorEastAsia"/>
          <w:kern w:val="0"/>
          <w:sz w:val="28"/>
          <w:szCs w:val="28"/>
          <w:shd w:val="clear" w:color="auto" w:fill="FFFFFF"/>
        </w:rPr>
        <w:t>人员情况。</w:t>
      </w:r>
      <w:r>
        <w:rPr>
          <w:rFonts w:hint="eastAsia" w:asciiTheme="minorEastAsia" w:hAnsiTheme="minorEastAsia" w:eastAsiaTheme="minorEastAsia" w:cstheme="minorEastAsia"/>
          <w:sz w:val="28"/>
          <w:szCs w:val="28"/>
        </w:rPr>
        <w:t>邵阳市大祥区发展和改革局共有干部职工65人，其中在职19人，退休4</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人，内设综合办公室、招标投标股、计划产业综合股、社会交通能源股、价格调控管理股、粮食和物资储备股6个股室。</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ind w:firstLine="560" w:firstLineChars="200"/>
        <w:jc w:val="left"/>
        <w:textAlignment w:val="auto"/>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2、机构设置。邵阳市大祥区发展和改革局2021年部门决算汇总公开单位构成包括：大祥区发展和改革局只有本级，没有其他二级决算单位，因此，纳入2021年部门决算编制范围的只有邵阳市大祥区发展和改革局部门本级。</w:t>
      </w:r>
    </w:p>
    <w:p>
      <w:pPr>
        <w:pStyle w:val="8"/>
        <w:ind w:firstLine="560" w:firstLineChars="200"/>
        <w:rPr>
          <w:rFonts w:ascii="Calibri" w:hAnsi="Calibri"/>
          <w:kern w:val="0"/>
          <w:sz w:val="28"/>
          <w:szCs w:val="28"/>
          <w:shd w:val="clear" w:color="auto" w:fill="FFFFFF"/>
        </w:rPr>
      </w:pPr>
      <w:r>
        <w:rPr>
          <w:rFonts w:hint="eastAsia" w:ascii="宋体" w:hAnsi="宋体"/>
          <w:kern w:val="0"/>
          <w:sz w:val="28"/>
          <w:szCs w:val="28"/>
          <w:shd w:val="clear" w:color="auto" w:fill="FFFFFF"/>
        </w:rPr>
        <w:t> </w:t>
      </w:r>
      <w:r>
        <w:rPr>
          <w:rFonts w:ascii="Calibri" w:hAnsi="Calibri" w:cs="Calibri"/>
          <w:kern w:val="0"/>
          <w:sz w:val="28"/>
          <w:szCs w:val="28"/>
          <w:shd w:val="clear" w:color="auto" w:fill="FFFFFF"/>
        </w:rPr>
        <w:t>3</w:t>
      </w:r>
      <w:r>
        <w:rPr>
          <w:rFonts w:hint="eastAsia" w:ascii="宋体" w:hAnsi="宋体"/>
          <w:kern w:val="0"/>
          <w:sz w:val="28"/>
          <w:szCs w:val="28"/>
          <w:shd w:val="clear" w:color="auto" w:fill="FFFFFF"/>
        </w:rPr>
        <w:t>、主要职能。</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ind w:firstLine="560" w:firstLineChars="200"/>
        <w:jc w:val="left"/>
        <w:textAlignment w:val="auto"/>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大祥区发改局贯彻落实党中央关于发展和改革工作的方针政策和决策部署，全面落实省委、市委和区委关于发展和改革工作的部署要求，在履行职责过程中坚持和加强党对发展和改革工作的集中统一领导。主要职责是：</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bCs/>
          <w:kern w:val="0"/>
          <w:sz w:val="32"/>
          <w:szCs w:val="32"/>
        </w:rPr>
        <w:t xml:space="preserve"> </w:t>
      </w:r>
      <w:r>
        <w:rPr>
          <w:rFonts w:hint="eastAsia" w:ascii="宋体" w:hAnsi="宋体"/>
          <w:kern w:val="0"/>
          <w:sz w:val="28"/>
          <w:szCs w:val="28"/>
          <w:shd w:val="clear" w:color="auto" w:fill="FFFFFF"/>
          <w:lang w:val="en-US" w:eastAsia="zh-CN"/>
        </w:rPr>
        <w:t>（一）贯彻执行国家和省、市有关国民经济和社会发展的方针政策和法规，拟订全区国民经济和社会发展战略、中长期规划和年度发展计划并组织实施；研究分析全区及国内外经济形势，提出国民经济发展、价格总水平调控和优化经济结构的目标、政策，提出综合运用各种经济手段和政策的建议,受区政府委托向区人大提交全区国民经济和社会发展计划报告。</w:t>
      </w:r>
    </w:p>
    <w:p>
      <w:pPr>
        <w:widowControl/>
        <w:spacing w:line="600" w:lineRule="exact"/>
        <w:rPr>
          <w:bCs/>
          <w:kern w:val="0"/>
          <w:sz w:val="32"/>
          <w:szCs w:val="32"/>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（二）研究全区宏观经济运行、总量平衡、经济安全和总体产业安全等重要问题并提出宏观调控政策建议，协调解决经济运行中的重大问题，调节国民经济运行。</w:t>
      </w:r>
    </w:p>
    <w:p>
      <w:pPr>
        <w:widowControl/>
        <w:spacing w:line="600" w:lineRule="exact"/>
        <w:ind w:firstLine="280" w:firstLineChars="1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（三）汇总社会资金总体运行情况，参与制定财政、金融、土地政策并综合分析政策执行效果；会同有关部门完善宏观调控协调机制，统筹推进产业、创业等投资基金的发展和制度建设。</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四）承担指导推进和综合协调全区经济体制改革的责任；研究经济体制改革和对外开放的重大问题，组织拟订全区综合性经济体制改革方案，协调推进专项经济体制改革，会同有关部门搞好重要专项经济体制改革之间的衔接；组织实施经济体制改革试点和改革试验区的有关工作；参与协调推进“两型”社会建设综合配套改革试验区工作。</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五）拟订全区全社会固定资产投资总规模和投资结构的调控目标、政策及措施：统筹安排区级财政性建设资金和投资项目，编制下达政府投资年度计划；规划全区重大建设项目和生产力布局，按规定权限审批、核准、审核、备案跨县区、跨行业、跨领域和涉及综合平衡、重大布局的重大建设项目、外资项目；研究提出全区利用外资和境外投资的战略、规划、总量平衡和结构优化的目标和政策；指导和监督国外贷款建设资金的使用，引导民间投资方向。</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六）组织拟订综合性产业政策，负责协调第一、二、三产业发展的重大问题并衔接平衡相关发展规划和重大政策，负责综合交通运输体系规划与国民经济和社会发展规划的衔接平衡；协调农业和农村经济社会发展的重大问题。</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（七）贯彻落实国家中部崛起比照西部开发、长江经济带开发建设和湘西地区开发的政策措施；落实国家、省扶贫攻坚规划；参与研究拟订全区城镇化发展战略和重大政策措施。</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八）负责社会发展与国民经济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九）研究分析经济社会与资源、环境协调发展的重大问题；负责节能的综合协调工作，组织拟订发展循环经济、能源资源节约和综合利用规划、政策措施并协调实施；参与编制生态文明建设、环境保护规划，协调生态建设、能源资源节约和综合利用的重大问题，会同有关部门提出建立健全生态补偿机制的政策措施；综合协调环保产业和清洁生产促进有关工作；牵头完善固定资产投资项目节能评估和审查制度。</w:t>
      </w:r>
    </w:p>
    <w:p>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十）拟订并组织实施全区能源发展战略、规划和政策，研究提出能源消费总量控制目标的建议，牵头拟定能源消费总量控制工作方案并组织实施，推进全区能源体制改革，协调相关重大问题；负责全区能源行业节能和资源综合利用；审批、核准、备案、审核、上报全区能源固定资产投资项目；指导协调农村能源发展工作；负责能源预测预警，发布能源信息，参与能源运行调节和应急保障，负责区内石油和天然气储备管理工作；组织推进全区能源重大设备研发及相关重大科技项目。</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一)编制和执行全区价格改革规划，拟订并组织实施价格政策；监测、分析市场价格形势，组织实施价格总水平调控；承担行政事业性收费管理工作；负责价格公共服务工作；负责国家和省下达的农产品生产成本和收益情况调查、负责政府价格主管部门定价权限范围内的定调价成本监审和区本级政府购买服务的相关成本监审。</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(十二)研究制定推进社会信用体系建设的规划、政策措施，统筹推进统一的信用信息平台建设，促进信用信息资源的整合与运用，协调社会信用体系建设的重大问题。</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(十三)研究拟订推进经济建设与国防建设协调发展的战略和规划，协调有关重大问题。组织编制全区国民经济动员和装备动员规划、计划，并组织实施有关工作。</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四)指导、协调和监督全区公共资源交易活动。指导和协调全区招标投标工作，负责重大建设项目建设过程中工程招投标的监督检查；负责政府投资项目代建制实施的指导、协调和监督管理；指导政府投资项目评审工作。</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五)贯彻执行粮食流通和物资储备管理的地方性法规和有关规定。研究提出全区粮食宏观调控及粮食流通的中长期规划,拟订全区粮食市场体系建设与发展规划,承担全区粮食流通宏观调控的具体工作。拟订全区粮食流通和物资储备体制改革方案并组织实施。</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(十六)研究提出全区战略物资储备规划、全区储备品种目录的建议。根据全区储备总体发展规划和品种目录,组织实施全区战略和应急储备物资的收储、轮换和日常管理,落实有关动用计划和指令。</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(十七)管理全区重要消费品储备和救灾物资储备,负责区级储备行政管理。监测重要消费品和战略物资供求变化并预测预警。指导协调政策性粮食购销和粮食产销合作,保障军队粮食供应。</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(十八)拟订粮食和物资储备仓储管理有关技术标准和规范并组织实施。负责全区粮食流通、加工行业安全生产工作的监督管理，承担所属物资储备承储单位安全生产的监管责任。</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(十九)根据国家、省、市和全区储备总体发展规划,统一负责储备基础设施建设和管理。拟订全区储备基础设施、粮食流通设施建设规划并组织实施,管理有关储备基础设施和粮食流通设施投资项目。</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(二十)负责对管理的政府储备、企业储备以及储备政策落实情况进行监督检查。负责粮食流通监督检查,负责粮食收购、储存、运输环节粮食质量安全和原粮卫生的监督管理,组织实施粮食库存检查工作。</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一)负责粮食流通行业管理,制定行业发展规划、政策,拟订粮食流通和物资储备有关标准、粮食质量有关标准,制定有关技术规范并监督执行。负责实施粮食收购行政许可的有关行政管理。负责协调推进粮食产业发展有关工作。负责粮食和物资储备的对外合作与交流。</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(二十二)贯彻落实上级有关优化经济环境政策，构建优化经济发展环境的长效机制，加强对全区经济发展环境的监督检查工作。</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(二十三)完成区委和区政府交办的其他任务。</w:t>
      </w:r>
    </w:p>
    <w:p>
      <w:pPr>
        <w:widowControl/>
        <w:shd w:val="clear" w:color="auto" w:fill="FFFFFF"/>
        <w:spacing w:before="100" w:beforeAutospacing="1" w:after="100" w:afterAutospacing="1"/>
        <w:jc w:val="left"/>
        <w:rPr>
          <w:rFonts w:ascii="宋体" w:hAnsi="宋体"/>
          <w:kern w:val="0"/>
          <w:sz w:val="24"/>
          <w:szCs w:val="24"/>
          <w:shd w:val="clear" w:color="auto" w:fill="FFFFFF"/>
        </w:rPr>
      </w:pPr>
      <w:r>
        <w:rPr>
          <w:rFonts w:hint="eastAsia" w:ascii="宋体" w:hAnsi="宋体"/>
          <w:b/>
          <w:bCs/>
          <w:kern w:val="0"/>
          <w:sz w:val="28"/>
          <w:szCs w:val="28"/>
          <w:shd w:val="clear" w:color="auto" w:fill="FFFFFF"/>
        </w:rPr>
        <w:t>    二、部门整体支出管理及使用情况</w:t>
      </w:r>
    </w:p>
    <w:p>
      <w:pPr>
        <w:widowControl/>
        <w:spacing w:line="600" w:lineRule="exact"/>
        <w:ind w:firstLine="280" w:firstLineChars="1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（一）2021年部门预算执行情况</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1、收入支出决算总体情况说明</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2021年度收、支总计727.63万元。与2020年相比，增加153.27万元，增长26.69%，主要是因为区财政拨遗嘱费用时拨错100多万，已全部退回区财政，以及年初预算结余差额。</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2、收入决算情况说明</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本年收入合计697.68万元，其中：财政拨款收入691.26万元，占99.08%；上级补助收入0万元，占0%；事业收入0万元，占0%；经营收入0万元，占0%；附属单位上缴收入0万元，占0%；其他收入6.42万元，占0.92%。</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3、支出决算情况说明</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本年支出合计727.63万元，其中：基本支出452.13万元，占62.14%；项目支出275.5万元，占37.86%；上缴上级支出0万元，占0%；经营支出0万元，占0%；对附属单位补助支出0万元，占0%。</w:t>
      </w:r>
    </w:p>
    <w:p>
      <w:pPr>
        <w:widowControl/>
        <w:numPr>
          <w:ilvl w:val="0"/>
          <w:numId w:val="1"/>
        </w:numPr>
        <w:shd w:val="clear" w:color="auto" w:fill="FFFFFF"/>
        <w:spacing w:before="100" w:beforeAutospacing="1" w:after="100" w:afterAutospacing="1"/>
        <w:ind w:firstLine="560" w:firstLineChars="200"/>
        <w:jc w:val="left"/>
        <w:rPr>
          <w:rFonts w:ascii="宋体" w:hAnsi="宋体"/>
          <w:kern w:val="0"/>
          <w:sz w:val="28"/>
          <w:szCs w:val="28"/>
          <w:shd w:val="clear" w:color="auto" w:fill="FFFFFF"/>
        </w:rPr>
      </w:pPr>
      <w:r>
        <w:rPr>
          <w:rFonts w:hint="eastAsia" w:ascii="宋体" w:hAnsi="宋体"/>
          <w:kern w:val="0"/>
          <w:sz w:val="28"/>
          <w:szCs w:val="28"/>
          <w:shd w:val="clear" w:color="auto" w:fill="FFFFFF"/>
        </w:rPr>
        <w:t>基本支出使用情况</w:t>
      </w:r>
    </w:p>
    <w:p>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2021年度财政拨款基本支出445.71万元，其中：人员经费358.3万元，占基本支出的80.39%,主要包括基本基本工资、津贴补贴、奖金、伙食补助费、机关事业单位基本养老保险缴费、职业年金缴费、职工基本医疗保险缴费、公务员医疗补助缴费、其他社会保障缴费、住房公积金、医疗费、其他工资福利支出、生活补助、奖励金、抚恤金、其他对个人和家庭的补助支出；公用经费87.41万元，占基本支出的19.61%，主要包括办公办公费、印刷费、差旅费、维修（护）费、专用材料费、劳务费、其他交通费用、其他商品和服务支出。</w:t>
      </w:r>
    </w:p>
    <w:p>
      <w:pPr>
        <w:widowControl/>
        <w:shd w:val="clear" w:color="auto" w:fill="FFFFFF"/>
        <w:spacing w:before="100" w:beforeAutospacing="1" w:after="100" w:afterAutospacing="1"/>
        <w:jc w:val="left"/>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rPr>
        <w:t>    </w:t>
      </w:r>
      <w:r>
        <w:rPr>
          <w:rFonts w:hint="eastAsia" w:ascii="宋体" w:hAnsi="宋体"/>
          <w:kern w:val="0"/>
          <w:sz w:val="28"/>
          <w:szCs w:val="28"/>
          <w:shd w:val="clear" w:color="auto" w:fill="FFFFFF"/>
          <w:lang w:val="en-US" w:eastAsia="zh-CN"/>
        </w:rPr>
        <w:t>基本支出主要用于我部门正常运转、完成日常性工作而发生的各项支出，包括用于基本工资、绩效工资、社会保障缴费等人员经费和办公费、印刷费、咨询费、水电费、维护费、劳务费、培训费、等日常公用经费以及退休人员的生活待遇及其他对个人和家庭的补助支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宋体" w:hAnsi="宋体"/>
          <w:kern w:val="0"/>
          <w:sz w:val="28"/>
          <w:szCs w:val="28"/>
          <w:shd w:val="clear" w:color="auto" w:fill="FFFFFF"/>
        </w:rPr>
      </w:pPr>
      <w:r>
        <w:rPr>
          <w:rFonts w:hint="eastAsia" w:ascii="宋体" w:hAnsi="宋体"/>
          <w:kern w:val="0"/>
          <w:sz w:val="28"/>
          <w:szCs w:val="28"/>
          <w:shd w:val="clear" w:color="auto" w:fill="FFFFFF"/>
        </w:rPr>
        <w:t>    （三）“三公经费”的使用和管理情况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宋体" w:hAnsi="宋体" w:eastAsia="宋体" w:cs="Times New Roman"/>
          <w:color w:val="auto"/>
          <w:kern w:val="0"/>
          <w:sz w:val="28"/>
          <w:szCs w:val="28"/>
          <w:shd w:val="clear" w:color="auto" w:fill="FFFFFF"/>
          <w:lang w:val="en-US" w:eastAsia="zh-CN" w:bidi="ar-SA"/>
        </w:rPr>
      </w:pPr>
      <w:r>
        <w:rPr>
          <w:rFonts w:hint="eastAsia" w:ascii="宋体" w:hAnsi="宋体" w:eastAsia="宋体"/>
          <w:sz w:val="28"/>
          <w:szCs w:val="28"/>
          <w:shd w:val="clear" w:color="auto" w:fill="FFFFFF"/>
        </w:rPr>
        <w:t> </w:t>
      </w:r>
      <w:r>
        <w:rPr>
          <w:rFonts w:hint="eastAsia" w:ascii="宋体" w:hAnsi="宋体" w:eastAsia="宋体" w:cs="Times New Roman"/>
          <w:color w:val="auto"/>
          <w:kern w:val="0"/>
          <w:sz w:val="28"/>
          <w:szCs w:val="28"/>
          <w:shd w:val="clear" w:color="auto" w:fill="FFFFFF"/>
          <w:lang w:val="en-US" w:eastAsia="zh-CN" w:bidi="ar-SA"/>
        </w:rPr>
        <w:t>   “三公”经费财政拨款支出预算为2万元，支出决算为0万元，完成预算的0%，主要原因是：严格按照“三公”经费管理规定执行，认真贯彻落实“三公”经费文件精神。</w:t>
      </w:r>
    </w:p>
    <w:p>
      <w:pPr>
        <w:pStyle w:val="6"/>
        <w:spacing w:line="600" w:lineRule="exact"/>
        <w:ind w:firstLine="560" w:firstLineChars="200"/>
        <w:rPr>
          <w:rFonts w:hint="eastAsia" w:ascii="宋体" w:hAnsi="宋体" w:eastAsia="宋体" w:cs="Times New Roman"/>
          <w:color w:val="auto"/>
          <w:kern w:val="0"/>
          <w:sz w:val="28"/>
          <w:szCs w:val="28"/>
          <w:shd w:val="clear" w:color="auto" w:fill="FFFFFF"/>
          <w:lang w:val="en-US" w:eastAsia="zh-CN" w:bidi="ar-SA"/>
        </w:rPr>
      </w:pPr>
      <w:r>
        <w:rPr>
          <w:rFonts w:hint="eastAsia" w:ascii="宋体" w:hAnsi="宋体" w:eastAsia="宋体" w:cs="Times New Roman"/>
          <w:color w:val="auto"/>
          <w:kern w:val="0"/>
          <w:sz w:val="28"/>
          <w:szCs w:val="28"/>
          <w:shd w:val="clear" w:color="auto" w:fill="FFFFFF"/>
          <w:lang w:val="en-US" w:eastAsia="zh-CN" w:bidi="ar-SA"/>
        </w:rPr>
        <w:t>因公出国（境）费支出预算为0万元，支出决算为0万元，完成预算的0%，与上年持平。</w:t>
      </w:r>
    </w:p>
    <w:p>
      <w:pPr>
        <w:pStyle w:val="6"/>
        <w:spacing w:line="600" w:lineRule="exact"/>
        <w:ind w:firstLine="560" w:firstLineChars="200"/>
        <w:rPr>
          <w:rFonts w:hint="eastAsia" w:ascii="宋体" w:hAnsi="宋体" w:eastAsia="宋体" w:cs="Times New Roman"/>
          <w:color w:val="auto"/>
          <w:kern w:val="0"/>
          <w:sz w:val="28"/>
          <w:szCs w:val="28"/>
          <w:shd w:val="clear" w:color="auto" w:fill="FFFFFF"/>
          <w:lang w:val="en-US" w:eastAsia="zh-CN" w:bidi="ar-SA"/>
        </w:rPr>
      </w:pPr>
      <w:r>
        <w:rPr>
          <w:rFonts w:hint="eastAsia" w:ascii="宋体" w:hAnsi="宋体" w:eastAsia="宋体" w:cs="Times New Roman"/>
          <w:color w:val="auto"/>
          <w:kern w:val="0"/>
          <w:sz w:val="28"/>
          <w:szCs w:val="28"/>
          <w:shd w:val="clear" w:color="auto" w:fill="FFFFFF"/>
          <w:lang w:val="en-US" w:eastAsia="zh-CN" w:bidi="ar-SA"/>
        </w:rPr>
        <w:t>公务接待费支出预算2万元，支出决算为0万元，完成预算的0%，决算数小于年初预算数的主要原因是厉行节约，压缩开支。</w:t>
      </w:r>
    </w:p>
    <w:p>
      <w:pPr>
        <w:pStyle w:val="6"/>
        <w:spacing w:line="600" w:lineRule="exact"/>
        <w:ind w:firstLine="560" w:firstLineChars="200"/>
        <w:rPr>
          <w:rFonts w:hint="eastAsia" w:ascii="宋体" w:hAnsi="宋体" w:eastAsia="宋体" w:cs="Times New Roman"/>
          <w:color w:val="auto"/>
          <w:kern w:val="0"/>
          <w:sz w:val="28"/>
          <w:szCs w:val="28"/>
          <w:shd w:val="clear" w:color="auto" w:fill="FFFFFF"/>
          <w:lang w:val="en-US" w:eastAsia="zh-CN" w:bidi="ar-SA"/>
        </w:rPr>
      </w:pPr>
      <w:r>
        <w:rPr>
          <w:rFonts w:hint="eastAsia" w:ascii="宋体" w:hAnsi="宋体" w:eastAsia="宋体" w:cs="Times New Roman"/>
          <w:color w:val="auto"/>
          <w:kern w:val="0"/>
          <w:sz w:val="28"/>
          <w:szCs w:val="28"/>
          <w:shd w:val="clear" w:color="auto" w:fill="FFFFFF"/>
          <w:lang w:val="en-US" w:eastAsia="zh-CN" w:bidi="ar-SA"/>
        </w:rPr>
        <w:t>公务用车购置费及运行维护费支出预算为0万元，支出决算为0万元，完成预算的0%，与上年持平。</w:t>
      </w:r>
    </w:p>
    <w:p>
      <w:pPr>
        <w:widowControl/>
        <w:shd w:val="clear" w:color="auto" w:fill="FFFFFF"/>
        <w:spacing w:before="100" w:beforeAutospacing="1" w:after="100" w:afterAutospacing="1"/>
        <w:jc w:val="left"/>
        <w:rPr>
          <w:rFonts w:hint="eastAsia" w:ascii="宋体" w:hAnsi="宋体" w:eastAsia="宋体" w:cs="Times New Roman"/>
          <w:color w:val="auto"/>
          <w:kern w:val="0"/>
          <w:sz w:val="28"/>
          <w:szCs w:val="28"/>
          <w:shd w:val="clear" w:color="auto" w:fill="FFFFFF"/>
          <w:lang w:val="en-US" w:eastAsia="zh-CN" w:bidi="ar-SA"/>
        </w:rPr>
      </w:pPr>
      <w:r>
        <w:rPr>
          <w:rFonts w:hint="eastAsia" w:ascii="宋体" w:hAnsi="宋体" w:eastAsia="宋体" w:cs="Times New Roman"/>
          <w:color w:val="auto"/>
          <w:kern w:val="0"/>
          <w:sz w:val="28"/>
          <w:szCs w:val="28"/>
          <w:shd w:val="clear" w:color="auto" w:fill="FFFFFF"/>
          <w:lang w:val="en-US" w:eastAsia="zh-CN" w:bidi="ar-SA"/>
        </w:rPr>
        <w:t xml:space="preserve"> </w:t>
      </w:r>
    </w:p>
    <w:p>
      <w:pPr>
        <w:widowControl/>
        <w:shd w:val="clear" w:color="auto" w:fill="FFFFFF"/>
        <w:spacing w:before="100" w:beforeAutospacing="1" w:after="100" w:afterAutospacing="1"/>
        <w:jc w:val="left"/>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t>   </w:t>
      </w:r>
    </w:p>
    <w:p>
      <w:pPr>
        <w:widowControl/>
        <w:shd w:val="clear" w:color="auto" w:fill="FFFFFF"/>
        <w:spacing w:before="100" w:beforeAutospacing="1" w:after="100" w:afterAutospacing="1"/>
        <w:jc w:val="left"/>
        <w:rPr>
          <w:rFonts w:hint="eastAsia" w:ascii="宋体" w:hAnsi="宋体"/>
          <w:kern w:val="0"/>
          <w:sz w:val="24"/>
          <w:szCs w:val="24"/>
          <w:shd w:val="clear" w:color="auto" w:fill="FFFFFF"/>
        </w:rPr>
      </w:pPr>
      <w:r>
        <w:rPr>
          <w:rFonts w:hint="eastAsia" w:ascii="宋体" w:hAnsi="宋体"/>
          <w:b/>
          <w:bCs/>
          <w:kern w:val="0"/>
          <w:sz w:val="28"/>
          <w:szCs w:val="28"/>
          <w:shd w:val="clear" w:color="auto" w:fill="FFFFFF"/>
        </w:rPr>
        <w:t> 三、资产管理情况</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宋体" w:hAnsi="宋体"/>
          <w:kern w:val="0"/>
          <w:sz w:val="28"/>
          <w:szCs w:val="28"/>
          <w:shd w:val="clear" w:color="auto" w:fill="FFFFFF"/>
        </w:rPr>
        <w:t>   </w:t>
      </w:r>
      <w:r>
        <w:rPr>
          <w:rFonts w:hint="eastAsia" w:ascii="仿宋" w:hAnsi="仿宋" w:eastAsia="仿宋"/>
          <w:kern w:val="0"/>
          <w:sz w:val="32"/>
          <w:szCs w:val="32"/>
        </w:rPr>
        <w:t> 制定了《财务管理制度》、《财产管理制度》、《现金管理制度》、《预决算管理制度》、《固定资产管理制度》等相关制度，并根据上级部门下发的各种费用制度，规范了财务活动和各种收支。严格履行报批手续，无计划安排不报账，无领导审批不报账，无经手人签字不报账，不符合财务规定的发票、票据不报账。经费的预算、开支、管理、报销均厉行勤俭节约，确保资金的使用规范与安全。项目资金严格执行预算，对项目的实施、资金投向及调度安排、固定资产购置及交付实行全过程管理，项目负责人定期向主管领导汇报项目实施进展和资金使用情况，确保专款专用，确保项目如期保质完成。对于批量及单价在规定金额以上的物品采购，均实行政府采购制度。年度计划、重大的支出等重大事项均经过班子成员会议集体讨论决定。</w:t>
      </w:r>
    </w:p>
    <w:p>
      <w:pPr>
        <w:widowControl/>
        <w:shd w:val="clear" w:color="auto" w:fill="FFFFFF"/>
        <w:spacing w:before="100" w:beforeAutospacing="1" w:after="100" w:afterAutospacing="1"/>
        <w:jc w:val="left"/>
        <w:rPr>
          <w:rFonts w:hint="eastAsia" w:ascii="宋体" w:hAnsi="宋体"/>
          <w:kern w:val="0"/>
          <w:sz w:val="24"/>
          <w:szCs w:val="24"/>
          <w:shd w:val="clear" w:color="auto" w:fill="FFFFFF"/>
        </w:rPr>
      </w:pPr>
      <w:r>
        <w:rPr>
          <w:rFonts w:hint="eastAsia" w:ascii="宋体" w:hAnsi="宋体"/>
          <w:b/>
          <w:bCs/>
          <w:kern w:val="0"/>
          <w:sz w:val="28"/>
          <w:szCs w:val="28"/>
          <w:shd w:val="clear" w:color="auto" w:fill="FFFFFF"/>
        </w:rPr>
        <w:t>    四、绩效评价工作情况</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宋体" w:hAnsi="宋体"/>
          <w:color w:val="434343"/>
          <w:kern w:val="0"/>
          <w:sz w:val="28"/>
          <w:szCs w:val="28"/>
          <w:shd w:val="clear" w:color="auto" w:fill="FFFFFF"/>
        </w:rPr>
        <w:t>   </w:t>
      </w:r>
      <w:r>
        <w:rPr>
          <w:rFonts w:hint="eastAsia" w:ascii="仿宋" w:hAnsi="仿宋" w:eastAsia="仿宋"/>
          <w:kern w:val="0"/>
          <w:sz w:val="32"/>
          <w:szCs w:val="32"/>
        </w:rPr>
        <w:t> 1.绩效评价目的</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    本次自评的目的是了解本单位2021年度财政资金预算支出的绩效状况，为今后预算安排提供决策支持。进一步增强本单位支出管理的责任，优化支出结构，保障更好地履行职责，提高财政资金使用效益。</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    2.绩效评价实施过程</w:t>
      </w:r>
    </w:p>
    <w:p>
      <w:pPr>
        <w:autoSpaceDE w:val="0"/>
        <w:autoSpaceDN w:val="0"/>
        <w:adjustRightInd w:val="0"/>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  根据《项目支出绩效评价办法》（财预〔2020〕10号）中《项目支出绩效评价报告》、《湖南省预算支出绩效评价管理办法》（湘财绩〔2020〕7号）。绩效评价工作主要如下：</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    （1）核实数据。对2021年度部门整体支出数据的准确性、真实性进行核实，将2021年度和2020年度部门整体支出情况进行比较分析。</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    （2）查阅资料。查阅2021年度预算安排、预算追加、资金管理、经费支出、资产管理等相关文件资料和财务凭证。</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    （3）归纳汇总。对收集的评价材料结合本单位情况进行综合分析、归纳汇总。</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    （4）根据评价材料结合各项评价指标进行分析评分。</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    （5）形成绩效评价自评报告。</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    3.绩效评价的局限性。</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    （1）在设计绩效评价体系时目标的确定与量化往往带有较强的主观性与经验主义，这需要在评价过程中不断完善。</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2）绩效评价是一项综合性工作，涉及财务管理、经济学、社会学、工程造价等多项领域，故仅仅依靠财务领域的人才在没有与其他相关领域的专家进行沟通的情况下，对部门整体支出进行独立评价可能结果并不完整。</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    五、综合评价情况及评价结论</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2021年，我单位积极履职，强化管理，较好的完成了年度工作目标。通过加强预算收支管理，不断建立健全内部管理制度，梳理内部管理流程，部门整体支出管理水平得到提升。根据部门整体支出绩效评价指标体系，我单位2021年度评价得分为95分。部门整体支出绩效情况如下：</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    1.预算配置控制较好。“三公”经费较上年持平。</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    2.预算执行比较到位。支出总额控制在预算总额以内，全年无截留或滞留专项资金情况。</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    3.预算管理较为理想，制度执行总体较为有效，但仍需进一步强化。</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    (1)“三公”经费总体控制好，较上年持平。</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    (2)政府采购执行率达到100%，对于单位的政府采购项目，凡单位购买属于政府采购范围内的货物、工程和服务，严格遵守政府采购相关法律法规的规定办理相关审批手续。</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(3)管理制度健全。我们严格预算管理，切实按照相关管理制度要求，修改完善了《财务管理规定》《资产管理规定》《单位内部控制管理制度》《内部审计制度》《财产管理制度》《现金管理制度》《预决算管理制度》等工作制度，进一步明确了财政预算资金审批手续和拨付程序、机关行政经费审批手续和报销程序，加强了财务管理，规范了收支行为，保证了财务管理工作规范有序进行。</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(4)资金使用管理逐步加强。单位支出严格按照国家财经法规和财务管理制度规定执行，正确组织资金的筹集、调度和使用，费用开支有标准、有预算，债权债务及时结算、结清。所有支出均通过我单位财政直接支付和授权支付方式办理，资金使用无截留、挤占、挪用、虚列支出等情况。</w:t>
      </w:r>
    </w:p>
    <w:p>
      <w:pPr>
        <w:widowControl/>
        <w:shd w:val="clear" w:color="auto" w:fill="FFFFFF"/>
        <w:spacing w:before="100" w:beforeAutospacing="1" w:after="100" w:afterAutospacing="1"/>
        <w:jc w:val="left"/>
        <w:rPr>
          <w:rFonts w:hint="eastAsia" w:ascii="仿宋" w:hAnsi="仿宋" w:eastAsia="仿宋"/>
          <w:kern w:val="0"/>
          <w:sz w:val="32"/>
          <w:szCs w:val="32"/>
        </w:rPr>
      </w:pPr>
      <w:r>
        <w:rPr>
          <w:rFonts w:hint="eastAsia" w:ascii="仿宋" w:hAnsi="仿宋" w:eastAsia="仿宋"/>
          <w:kern w:val="0"/>
          <w:sz w:val="32"/>
          <w:szCs w:val="32"/>
        </w:rPr>
        <w:t>    (5)部门预算收支严格按年初部门预算方案执行，部门预决算、“三公”经费预决算信息均按要求及时进行了公开。</w:t>
      </w:r>
    </w:p>
    <w:p>
      <w:pPr>
        <w:widowControl/>
        <w:shd w:val="clear" w:color="auto" w:fill="FFFFFF"/>
        <w:spacing w:before="100" w:beforeAutospacing="1" w:after="100" w:afterAutospacing="1"/>
        <w:jc w:val="left"/>
        <w:rPr>
          <w:rFonts w:hint="eastAsia" w:ascii="宋体" w:hAnsi="宋体"/>
          <w:b/>
          <w:bCs/>
          <w:color w:val="434343"/>
          <w:kern w:val="0"/>
          <w:sz w:val="28"/>
          <w:szCs w:val="28"/>
          <w:shd w:val="clear" w:color="auto" w:fill="FFFFFF"/>
        </w:rPr>
      </w:pPr>
      <w:r>
        <w:rPr>
          <w:rFonts w:hint="eastAsia" w:ascii="宋体" w:hAnsi="宋体"/>
          <w:b/>
          <w:bCs/>
          <w:color w:val="434343"/>
          <w:kern w:val="0"/>
          <w:sz w:val="28"/>
          <w:szCs w:val="28"/>
          <w:shd w:val="clear" w:color="auto" w:fill="FFFFFF"/>
        </w:rPr>
        <w:t>    六、部门整体支出主要绩效</w:t>
      </w:r>
    </w:p>
    <w:p>
      <w:pPr>
        <w:widowControl/>
        <w:shd w:val="clear" w:color="auto" w:fill="FFFFFF"/>
        <w:spacing w:before="100" w:beforeAutospacing="1" w:after="100" w:afterAutospacing="1"/>
        <w:ind w:firstLine="562" w:firstLineChars="200"/>
        <w:jc w:val="left"/>
        <w:rPr>
          <w:rFonts w:hint="eastAsia" w:ascii="宋体" w:hAnsi="宋体"/>
          <w:b/>
          <w:bCs/>
          <w:color w:val="434343"/>
          <w:kern w:val="0"/>
          <w:sz w:val="28"/>
          <w:szCs w:val="28"/>
          <w:shd w:val="clear" w:color="auto" w:fill="FFFFFF"/>
        </w:rPr>
      </w:pPr>
      <w:r>
        <w:rPr>
          <w:rFonts w:hint="eastAsia" w:ascii="宋体" w:hAnsi="宋体"/>
          <w:b/>
          <w:bCs/>
          <w:color w:val="434343"/>
          <w:kern w:val="0"/>
          <w:sz w:val="28"/>
          <w:szCs w:val="28"/>
          <w:shd w:val="clear" w:color="auto" w:fill="FFFFFF"/>
        </w:rPr>
        <w:t>（一）、抓好经济指标稳增长</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大力做好项目入库工作。按照“减流程、强监管、优服务”的原则，加强项目审批备案工作，搞好跟踪对接，督促项目开工，各相关乡镇街道作好入库入统工作，进一步深挖潜力，充实项目库。紧盯目标任务，进一步清理未入库的重点项目和规模以上服务业，分析未入库的原因，未立项的抓紧立项，未开工的抓紧开工，资料不齐全的抓紧补资料。全年新增统计入库项目29个，总投资73亿元,新增规模以上服务业单位1个，为经济指标稳步增长做出了一定贡献。</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主要经济指标稳中有进。积极应对宏观经济下行、新冠肺炎疫情等风险挑战，扎实做好“六稳”工作，全面落实“六保”任务，全区经济呈现“稳中加固、稳中有进、稳中向好”的运行态势。全年地区生产总值达210.9亿元，同比增长8.7%，增速排名全市第三、三区第一；规模工业增加值同比增长10%，排名全市第五，三区第一；固定资产投资完成158.4亿元，同比增长0.2%；社会消费品零售总额同比增长14.4%；全体居民人均可支配收入33653元，同比增长9.1%；财政总收入5.41亿元，其中地方财政收入3.04亿元；实际利用内资73.3亿元，同比增长32.3%；实际利用外资1.8万美元，人均实际使用外资额、人均高技术实际使用外资额均实现破零。</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3、稳步推动经济高质量发展。作为全区高质量发展指标工作牵头汇总单位，积极协调对接市发改、市统计、市住建、市城投以及区里各相关职能部门，按时收集汇总、掌握分析经济指标动态，及时发现问题、补齐短板，为经济指标稳步增长夯实了基础。</w:t>
      </w:r>
    </w:p>
    <w:p>
      <w:pPr>
        <w:widowControl/>
        <w:shd w:val="clear" w:color="auto" w:fill="FFFFFF"/>
        <w:spacing w:before="100" w:beforeAutospacing="1" w:after="100" w:afterAutospacing="1"/>
        <w:ind w:firstLine="562" w:firstLineChars="200"/>
        <w:jc w:val="left"/>
        <w:rPr>
          <w:rFonts w:hint="eastAsia" w:ascii="宋体" w:hAnsi="宋体"/>
          <w:b/>
          <w:bCs/>
          <w:color w:val="434343"/>
          <w:kern w:val="0"/>
          <w:sz w:val="28"/>
          <w:szCs w:val="28"/>
          <w:shd w:val="clear" w:color="auto" w:fill="FFFFFF"/>
        </w:rPr>
      </w:pPr>
      <w:r>
        <w:rPr>
          <w:rFonts w:hint="eastAsia" w:ascii="宋体" w:hAnsi="宋体"/>
          <w:b/>
          <w:bCs/>
          <w:color w:val="434343"/>
          <w:kern w:val="0"/>
          <w:sz w:val="28"/>
          <w:szCs w:val="28"/>
          <w:shd w:val="clear" w:color="auto" w:fill="FFFFFF"/>
        </w:rPr>
        <w:t>（二）、抓好重点项目促发展</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年初区委、区政府明确全区重点项目建设目标任务，明确责任领导，压实责任。不断完善相关工作机制，出台《大祥区重点项目推进实施方案》，为我区重点项目建设提供重要保障。今年实施重点项目57个，其中市级重点项目20个、区级重点项目37个，年度计划投资66.6亿元。截至12月底，20个市级重点项目完成投资31.11亿元，为年度计划的108.4%；37个区级重点项目完成投资39.87亿元，为年度计划的105.2%。截至12月底，我区重点项目建设工作具体项目进展情况如下：</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交通项目方面。邵阳市火车南站综合交通枢纽工程项目于2020年6月正式启动以来，基础工程桩基施工1019根，土石方开挖约3.4万方，电力管沟700m。既有站房加固及改造5793平方，钢结构加工1500t，承台施工65个，立柱44根，冠梁660m，电梯井4个，筏板489平方。</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产业项目方面。湘中职业技术学院、新巾帼农业、海螺云峰水泥、机械化屠宰场、金满田种子农资仓储物流、威斯珈食药用菌健康产业等重点项目进展顺利；粮安科技园、海螺云峰水泥节能扩改项目已投产运行。</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3、文化旅游项目方面。人民电影院综合文化中心已完成主体建设及室内安装工程，正在进行装饰工程，外脚手架拆除，外墙干挂石材完成40%，室外路面铺装及水电安装。</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4、城镇基础建设项目方面。桃花桥已建成通车；犬木塘水库项目已成功围堰，主体工程开工建设；老旧小区改造方面：2021年全年开工老旧小区建设项目56个，总建筑面积41.913万平方米，其中电影公司及戏校、湘林公司、临津门、化工局宿舍、北财院落等18个项目已完工。棚改方面：六岭棚户区改造及六岭校区项目，六岭校区已建成；二期主体工程封顶，外墙装饰、电梯安装、栏杆铝窗入户门安装等工程已完成，目前正实施园林绿化、公共区域装饰工程；三期已攻坚36户，余6户私房、2户公房，共签约195户，住宅总体签约率96%。白洲社区棚户区改造正在进行征地拆迁倒房工作；中驰国际广场棚户区改造项目已完成最后的强拆任务；西苑小学已开工建设。</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5、环保整治项目方面。市餐厨废弃物资源化利用和无害化处理项目已完成建设并投入试运行；市垃圾卫生填埋场防护距离搬迁项目已拆迁到位，正在进行安置地建设。大祥区湘商产业园污水处理厂项目主站已基本建成，管网铺设80%。</w:t>
      </w:r>
    </w:p>
    <w:p>
      <w:pPr>
        <w:widowControl/>
        <w:shd w:val="clear" w:color="auto" w:fill="FFFFFF"/>
        <w:spacing w:before="100" w:beforeAutospacing="1" w:after="100" w:afterAutospacing="1"/>
        <w:ind w:firstLine="562" w:firstLineChars="200"/>
        <w:jc w:val="left"/>
        <w:rPr>
          <w:rFonts w:hint="eastAsia" w:ascii="宋体" w:hAnsi="宋体"/>
          <w:b/>
          <w:bCs/>
          <w:color w:val="434343"/>
          <w:kern w:val="0"/>
          <w:sz w:val="28"/>
          <w:szCs w:val="28"/>
          <w:shd w:val="clear" w:color="auto" w:fill="FFFFFF"/>
        </w:rPr>
      </w:pPr>
      <w:r>
        <w:rPr>
          <w:rFonts w:hint="eastAsia" w:ascii="宋体" w:hAnsi="宋体"/>
          <w:b/>
          <w:bCs/>
          <w:color w:val="434343"/>
          <w:kern w:val="0"/>
          <w:sz w:val="28"/>
          <w:szCs w:val="28"/>
          <w:shd w:val="clear" w:color="auto" w:fill="FFFFFF"/>
        </w:rPr>
        <w:t>（三）、抓好政策红利助争资</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深度谋划储备项目。年初从保障性安居工程、体育补短板、长江经济带、城市内涝治理、农业面源化污染、石漠化治理等各个专项谋划2021项目，并做好项目申报的相关前期工作。根据大祥经济发展现状并着眼下个五年项目建设需要，深入项目现场调研谋划“十四五”期间重大项目储备，在湖南省固定资产投资项目综合管理系统共储备入库“十四五”期间重大项目60个，在国家重大项目库储备项目39个，项目涉及产业发展、基础设施、生态环保、社会民生、科技创新等各方面，对于我区经济社会发展、提升公共服务能力、切实改善民生具有重要意义。</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积极向上争资争项。根据国家发展改革政策和投资方向，积极跑市进省争资争项，为助力大祥经济社会发展做出新的贡献。2021年共争取到央省预算内资金、地方政府专项债券项目资金1.522亿元。其中，争取到中央、省预算内资金4370万元：保障性安居工程老旧小区配套专项2021年第二批中央预算投资1265万元、保障性安居工程老旧小区配套专项2021年第三批中央预算投资1950万元、蔡锷故居配套设施资金800万元，2021年湘西地区开发产业发展专项资金355万元；争取到地方政府专项债券项目资金1.085亿元：湖南省邵阳市国家农村产业融合发展示范园基础设施建设项目1亿元、蔡锷故里景区旅游基础设施及配套服务设施建设项目850万元。</w:t>
      </w:r>
    </w:p>
    <w:p>
      <w:pPr>
        <w:widowControl/>
        <w:shd w:val="clear" w:color="auto" w:fill="FFFFFF"/>
        <w:spacing w:before="100" w:beforeAutospacing="1" w:after="100" w:afterAutospacing="1"/>
        <w:ind w:firstLine="562" w:firstLineChars="200"/>
        <w:jc w:val="left"/>
        <w:rPr>
          <w:rFonts w:hint="eastAsia" w:ascii="宋体" w:hAnsi="宋体"/>
          <w:b/>
          <w:bCs/>
          <w:color w:val="434343"/>
          <w:kern w:val="0"/>
          <w:sz w:val="28"/>
          <w:szCs w:val="28"/>
          <w:shd w:val="clear" w:color="auto" w:fill="FFFFFF"/>
        </w:rPr>
      </w:pPr>
      <w:r>
        <w:rPr>
          <w:rFonts w:hint="eastAsia" w:ascii="宋体" w:hAnsi="宋体"/>
          <w:b/>
          <w:bCs/>
          <w:color w:val="434343"/>
          <w:kern w:val="0"/>
          <w:sz w:val="28"/>
          <w:szCs w:val="28"/>
          <w:shd w:val="clear" w:color="auto" w:fill="FFFFFF"/>
        </w:rPr>
        <w:t>（四）、抓好价格监管惠民心</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积极开展价格监测工作。定期对辖区内农贸市场、各大商超的粮食蔬菜等生活必需品价格进行监测，加强价格形势研判，第一时间掌握重要民生商品市场流动动态和价格变化，确保市场不断档、不脱销、无哄抬物价行为，保证了各类生活必需品疫情期间、节假日和平时价格稳定。</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推进农业水价综合改革。加快完善农业水价综合改革工作机制，牵头成立了由区发改局、区财政局、区水利局、区农业农村区组成的大祥区农业水价综合改革联席会议，明确任务、统筹协调，合力推进我区农业水价综合改革。</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3、公正开展价格认定工作。区发改局价格认证中心认真严谨、公平公正开展本区涉案物价格认定工作。今年以来，共计受理公检法司涉案物价格认定事务320余起，总认定金额600余万元，无一复议。</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4、认真落实教育双减政策。积极配合市发改委开展教育培训机构成本审核工作，对区内3家教育培训机构运营成本费用进行成本调查，为上级部门制定教育培训机构收费标准提供了真实可靠的数据依据。</w:t>
      </w:r>
    </w:p>
    <w:p>
      <w:pPr>
        <w:widowControl/>
        <w:shd w:val="clear" w:color="auto" w:fill="FFFFFF"/>
        <w:spacing w:before="100" w:beforeAutospacing="1" w:after="100" w:afterAutospacing="1"/>
        <w:ind w:firstLine="562" w:firstLineChars="200"/>
        <w:jc w:val="left"/>
        <w:rPr>
          <w:rFonts w:hint="eastAsia" w:ascii="宋体" w:hAnsi="宋体"/>
          <w:b/>
          <w:bCs/>
          <w:color w:val="434343"/>
          <w:kern w:val="0"/>
          <w:sz w:val="28"/>
          <w:szCs w:val="28"/>
          <w:shd w:val="clear" w:color="auto" w:fill="FFFFFF"/>
        </w:rPr>
      </w:pPr>
      <w:r>
        <w:rPr>
          <w:rFonts w:hint="eastAsia" w:ascii="宋体" w:hAnsi="宋体"/>
          <w:b/>
          <w:bCs/>
          <w:color w:val="434343"/>
          <w:kern w:val="0"/>
          <w:sz w:val="28"/>
          <w:szCs w:val="28"/>
          <w:shd w:val="clear" w:color="auto" w:fill="FFFFFF"/>
        </w:rPr>
        <w:t>（五）、抓好粮食物资守安全</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加强储备粮管理。调整了全区粮食安全责任制领导小组成员，制定下发全区《粮食安全省长责任制考核办法》和《粮食安全责任制考核细则》，明确各部门的工作目标。按照上级要求和部署，我区承担1000吨原粮的储备任务，委托辖区内的省级龙头粮食重点企业浩天米业开展粮食代储。按照“一符、三专、四落实”的要求，积极做好粮食储备工作。</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提高粮食质量。指导粮食经营者收购粮食时,必须做好食品卫生指标等检验、建立粮源溯源制度、价格公示、收购现场准备等工作。从2020年度生产的粮食开始,全面实行先检后收。加强安全生产日常监管，开展储备粮专项检查及粮食行业安全检查，严把出入库关口,确保地方储备粮数量真实，质量良好。</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3、提升保障能力。加强资金管理，及时保障各项涉粮资金按标准到位。加强粮食和物资基础设施建设，针对我区没有自有的储备粮库现状，正在积极立项申报中，争取早日建成现代化的智能储粮仓房设施。</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4、做好军粮供应工作。加强军粮供应管理，进一步融洽了军政感情。严格按照《湖南省军粮供应管理中心关于做好军粮统筹供应工作的通知》要求，全面实行了由省军粮中心安排的定点加工、统一包装、统一标识、统一配送的军供保障机制，粮油入库、出库合格率达到100%。</w:t>
      </w:r>
    </w:p>
    <w:p>
      <w:pPr>
        <w:widowControl/>
        <w:shd w:val="clear" w:color="auto" w:fill="FFFFFF"/>
        <w:spacing w:before="100" w:beforeAutospacing="1" w:after="100" w:afterAutospacing="1"/>
        <w:ind w:firstLine="562" w:firstLineChars="200"/>
        <w:jc w:val="left"/>
        <w:rPr>
          <w:rFonts w:hint="eastAsia" w:ascii="宋体" w:hAnsi="宋体"/>
          <w:b/>
          <w:bCs/>
          <w:color w:val="434343"/>
          <w:kern w:val="0"/>
          <w:sz w:val="28"/>
          <w:szCs w:val="28"/>
          <w:shd w:val="clear" w:color="auto" w:fill="FFFFFF"/>
        </w:rPr>
      </w:pPr>
      <w:r>
        <w:rPr>
          <w:rFonts w:hint="eastAsia" w:ascii="宋体" w:hAnsi="宋体"/>
          <w:b/>
          <w:bCs/>
          <w:color w:val="434343"/>
          <w:kern w:val="0"/>
          <w:sz w:val="28"/>
          <w:szCs w:val="28"/>
          <w:shd w:val="clear" w:color="auto" w:fill="FFFFFF"/>
        </w:rPr>
        <w:t>（六）、抓好改革发展见成效</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全力推动产业发展。紧紧围绕省委“三高四新”战略，全面落实全区“十四五”规划，全力打造“五城三园三中心”，切实推动大祥区产业项目建设。制定出台《大祥区落实“三高四新”发展战略推动经济高质量发展实施方案》作为指导我区落实省委“三高四新”发展战略的纲领性文件，推进大祥区产业高质量发展。积极开展“五好”园区创建，提升园区综合承载能力。做强做优国家农业科技园，发挥粮安科技、山农优选、凯耀生物等优质企业的链长作用。蔡锷故里文化博览园获评国家4A级旅游景区、湖南省对台交流基地。省级工业集中区更名为大祥产业开发区，杭萧钢构钢结构装配式绿色建筑智能制造产业基地建设项目正在申报省级“三高四新”重大产业项目。新经济产业园已引入互联网科技企业18家。承产转移工作得到市委、市政府高度认可，我区被评为2020年度全市湘南湘西承接产业转移示范区建设暨产业发展先进单位。</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全面深化改革。全面深化“放管服”改革。按照全省“一件事一次办”责任清单和要求，深化行政审批流程改革和再造，制作新的“办事指南”，缩减审批时限，提高审批效率，2021年已按照湖南省投资项目在线审批平台操作流程对全区的审批、备案项目完成办结139个。持续优化营商环境。全面落实《大祥区优化营商环境行动方案》，坚持“两个毫不动摇”，构建“亲清”政商关系，全面推行涉企检查事项实行备案制度，进一步健全重点项目和重点企业区级领导联系机制，定期开展现场调研，协调解决突出问题，打造一流营商环境。大力深化投融资体制改革。全面落实政府投资条例，开展政府投资工程项目超概算专项清理整治，制定出台《邵阳市大祥区政府投资项目审批及概算管理办法》，严格区政府投资工程项目审批流程，进一步从源头上杜绝项目超概问题的发生。</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3、加快推进乡村振兴。巩固脱贫攻坚成果。切实抓好脱贫攻坚与乡村振兴有效衔接，安排两名干部在板桥乡蔡家村驻村开展乡村振兴工作，为联点村乡村振兴工作提供力量支撑,我局获得2020年度全区实施乡村振兴战略先进成员单位。做好异地搬迁后续帮扶和服务管理。强化安置区生产安全管理，按要求部署、督促做好安置区安全生产和疫情防控工作。积极争取资金，推动易地扶贫搬迁后续产业发展，切实改善民生。争取2021年湘西地区开发产业发展专项资金355万元，通过资金奖补引导，提高社会资本参与易地扶贫搬迁后续扶持工作的积极性和参与度。坚持就业培训指导、开发公益性就业岗位、提供就业帮助，确保搬迁群众稳得住、有就业、逐步能致富。</w:t>
      </w:r>
    </w:p>
    <w:p>
      <w:pPr>
        <w:widowControl/>
        <w:shd w:val="clear" w:color="auto" w:fill="FFFFFF"/>
        <w:spacing w:before="100" w:beforeAutospacing="1" w:after="100" w:afterAutospacing="1"/>
        <w:ind w:firstLine="562" w:firstLineChars="200"/>
        <w:jc w:val="left"/>
        <w:rPr>
          <w:rFonts w:hint="eastAsia" w:ascii="宋体" w:hAnsi="宋体"/>
          <w:b/>
          <w:bCs/>
          <w:color w:val="434343"/>
          <w:kern w:val="0"/>
          <w:sz w:val="28"/>
          <w:szCs w:val="28"/>
          <w:shd w:val="clear" w:color="auto" w:fill="FFFFFF"/>
        </w:rPr>
      </w:pPr>
      <w:bookmarkStart w:id="0" w:name="_GoBack"/>
      <w:r>
        <w:rPr>
          <w:rFonts w:hint="eastAsia" w:ascii="宋体" w:hAnsi="宋体"/>
          <w:b/>
          <w:bCs/>
          <w:color w:val="434343"/>
          <w:kern w:val="0"/>
          <w:sz w:val="28"/>
          <w:szCs w:val="28"/>
          <w:shd w:val="clear" w:color="auto" w:fill="FFFFFF"/>
        </w:rPr>
        <w:t>（七）、抓好党建工作强队伍</w:t>
      </w:r>
    </w:p>
    <w:bookmarkEnd w:id="0"/>
    <w:p>
      <w:pPr>
        <w:ind w:firstLine="640" w:firstLineChars="200"/>
        <w:rPr>
          <w:rFonts w:hint="eastAsia" w:ascii="仿宋" w:hAnsi="仿宋" w:eastAsia="仿宋"/>
          <w:kern w:val="0"/>
          <w:sz w:val="32"/>
          <w:szCs w:val="32"/>
        </w:rPr>
      </w:pPr>
      <w:r>
        <w:rPr>
          <w:rFonts w:hint="eastAsia" w:ascii="仿宋" w:hAnsi="仿宋" w:eastAsia="仿宋"/>
          <w:kern w:val="0"/>
          <w:sz w:val="32"/>
          <w:szCs w:val="32"/>
        </w:rPr>
        <w:t>1、以党建引领推进各项工作。强化组织领导，始终把党建工作摆在重中之重的位置，不断加强党风廉政建设，严格执行落实上级的重大决策部署，严格贯彻落实《中国共产党重大事项请示报告条例》，领导外出提前请示，重大事项及时报告。积极开展学习教育活动，落实意识形态工作责任制，落实好精神文明建设、乡村振兴、廉洁单位创建、社会治安综合治理、维稳、信访、统战、老干部等工作。综合办公室的文电、会务、综合治理、党群、工青妇等工作都有条不紊地进行。我局获得2020年平安建设综治工作先进单位、全区实施乡村振兴战略先进成员单位。</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深化中心组学习教育成果。不断规范完善中心组学习制度，制订党组理论学习中心组学习方案和计划，全年开展党组理论学习中心组12次，认真学习贯彻党的十九届六中全会、省市区党代会精神等。持续增强党员干部的为民服务意识，提高领导干部的拒腐防变能力，坚定党员干部廉洁从政的决心。督促党支部认真落实基层党建的相关要求，形成党组书记带头抓、支部书记亲自抓、党员干部积极参与的良好局面。</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3、认真开展党史学习教育工作。制定了发改局党史学习教育实施方案,坚持每周五党史“学习日”集中学习，扎实开展专题研讨学习，深入研读《中国共产党简史》等重点学习书目和篇目，深入学习贯彻习近平总书记“七一”重要讲话精神并举办专题读书班。用心开展纪念中国共产党成立100周年主题活动，认真组织观看庆祝中国共产党成立100周年大会直播，积极参加大祥区“学党史颂党恩跟党走”知识抢答赛，前往蔡锷故居、武冈红色教育基地开展党史学习教育。切实推动党史学习教育走深走实，落实完成“我为群众办实事”和微心愿清单22项。</w:t>
      </w:r>
    </w:p>
    <w:p>
      <w:pPr>
        <w:spacing w:line="240" w:lineRule="atLeast"/>
        <w:ind w:firstLine="562" w:firstLineChars="200"/>
        <w:jc w:val="both"/>
        <w:rPr>
          <w:b/>
          <w:bCs/>
          <w:shd w:val="clear" w:color="auto" w:fill="FFFFFF"/>
        </w:rPr>
      </w:pPr>
      <w:r>
        <w:rPr>
          <w:rFonts w:hint="eastAsia"/>
          <w:b/>
          <w:bCs/>
          <w:color w:val="434343"/>
          <w:sz w:val="28"/>
          <w:szCs w:val="28"/>
          <w:shd w:val="clear" w:color="auto" w:fill="FFFFFF"/>
        </w:rPr>
        <w:t>七、</w:t>
      </w:r>
      <w:r>
        <w:rPr>
          <w:rFonts w:hint="eastAsia"/>
          <w:b/>
          <w:bCs/>
          <w:sz w:val="28"/>
          <w:szCs w:val="28"/>
          <w:shd w:val="clear" w:color="auto" w:fill="FFFFFF"/>
        </w:rPr>
        <w:t>存在问题</w:t>
      </w:r>
    </w:p>
    <w:p>
      <w:pPr>
        <w:ind w:firstLine="562" w:firstLineChars="200"/>
        <w:rPr>
          <w:rFonts w:hint="eastAsia" w:ascii="仿宋" w:hAnsi="仿宋" w:eastAsia="仿宋"/>
          <w:kern w:val="0"/>
          <w:sz w:val="32"/>
          <w:szCs w:val="32"/>
        </w:rPr>
      </w:pPr>
      <w:r>
        <w:rPr>
          <w:rFonts w:hint="eastAsia" w:ascii="宋体" w:hAnsi="宋体"/>
          <w:b/>
          <w:bCs/>
          <w:kern w:val="0"/>
          <w:sz w:val="28"/>
          <w:szCs w:val="28"/>
          <w:shd w:val="clear" w:color="auto" w:fill="FFFFFF"/>
        </w:rPr>
        <w:t> </w:t>
      </w:r>
      <w:r>
        <w:rPr>
          <w:rFonts w:hint="eastAsia" w:ascii="仿宋" w:hAnsi="仿宋" w:eastAsia="仿宋"/>
          <w:kern w:val="0"/>
          <w:sz w:val="32"/>
          <w:szCs w:val="32"/>
        </w:rPr>
        <w:t xml:space="preserve"> 1、固定资产管理制度不够。</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 2、在绩效目标的编制过程中，因工作的不确定性和资金使用部门主动性不够， 致使编制的绩效目标不够细化。 </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 3.预算编制工作有待细化，在年初预算时，项目资金的经济分类科目没有按支出分配好。</w:t>
      </w:r>
    </w:p>
    <w:p>
      <w:pPr>
        <w:widowControl/>
        <w:shd w:val="clear" w:color="auto" w:fill="FFFFFF"/>
        <w:spacing w:before="100" w:beforeAutospacing="1" w:after="100" w:afterAutospacing="1"/>
        <w:ind w:firstLine="562" w:firstLineChars="200"/>
        <w:jc w:val="left"/>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t>八、改进措施和有关建议</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针对上述存在的问题及我局整体支出管理工作的需要，拟实施的改进措施如下：</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 1. 加强财务管理，严格财务审核。在费用报账支付时，按照预算规定的费用项目和用途进行资金使用审核、列报支付、财务核算，杜绝超支现象的发生。</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  2.持续抓好“三公”经费控制管理。严格控制“三公”经费的规模和比例，把关“三公”经费支出的审核、审批，杜绝挪用和挤占其他预算资金行为；进一步细化“三公”经费的管理，合理压缩“三公”经费支出。</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  3．加强项目开展进度的跟踪，开展项目绩效评价，确保项目绩效目标的完成。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51D38"/>
    <w:multiLevelType w:val="multilevel"/>
    <w:tmpl w:val="69151D38"/>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2Y3MGJjNTUxNzEyMDAzZjNmODMyYjE0NGNhZmYifQ=="/>
  </w:docVars>
  <w:rsids>
    <w:rsidRoot w:val="003B018B"/>
    <w:rsid w:val="000D2801"/>
    <w:rsid w:val="003B018B"/>
    <w:rsid w:val="022D3148"/>
    <w:rsid w:val="110D3777"/>
    <w:rsid w:val="59A165C6"/>
    <w:rsid w:val="683C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customStyle="1" w:styleId="5">
    <w:name w:val="Normal (Web)1"/>
    <w:basedOn w:val="1"/>
    <w:uiPriority w:val="0"/>
    <w:pPr>
      <w:widowControl/>
      <w:jc w:val="left"/>
    </w:pPr>
    <w:rPr>
      <w:rFonts w:ascii="宋体" w:hAnsi="宋体" w:cs="宋体"/>
      <w:kern w:val="0"/>
      <w:sz w:val="24"/>
      <w:szCs w:val="24"/>
    </w:rPr>
  </w:style>
  <w:style w:type="paragraph" w:customStyle="1" w:styleId="6">
    <w:name w:val="Default"/>
    <w:basedOn w:val="1"/>
    <w:uiPriority w:val="0"/>
    <w:pPr>
      <w:autoSpaceDE w:val="0"/>
      <w:autoSpaceDN w:val="0"/>
      <w:adjustRightInd w:val="0"/>
      <w:jc w:val="left"/>
    </w:pPr>
    <w:rPr>
      <w:rFonts w:ascii="黑体" w:eastAsia="黑体" w:cs="宋体"/>
      <w:color w:val="000000"/>
      <w:kern w:val="0"/>
      <w:sz w:val="24"/>
      <w:szCs w:val="24"/>
    </w:rPr>
  </w:style>
  <w:style w:type="paragraph" w:customStyle="1" w:styleId="7">
    <w:name w:val="普通(网站) Char Char"/>
    <w:basedOn w:val="1"/>
    <w:qFormat/>
    <w:uiPriority w:val="0"/>
    <w:pPr>
      <w:spacing w:before="100" w:beforeAutospacing="1" w:after="100" w:afterAutospacing="1"/>
      <w:jc w:val="left"/>
    </w:pPr>
    <w:rPr>
      <w:rFonts w:ascii="宋体" w:hAnsi="宋体" w:cs="宋体"/>
      <w:kern w:val="0"/>
      <w:sz w:val="24"/>
      <w:szCs w:val="24"/>
    </w:rPr>
  </w:style>
  <w:style w:type="paragraph" w:customStyle="1" w:styleId="8">
    <w:name w:val="Body Text First Indent1"/>
    <w:basedOn w:val="2"/>
    <w:uiPriority w:val="0"/>
    <w:pPr>
      <w:spacing w:before="100" w:beforeAutospacing="1" w:after="0"/>
      <w:ind w:firstLine="420" w:firstLineChars="100"/>
    </w:pPr>
    <w:rPr>
      <w:rFonts w:ascii="Times New Roman" w:hAnsi="Times New Roman"/>
    </w:rPr>
  </w:style>
  <w:style w:type="character" w:customStyle="1" w:styleId="9">
    <w:name w:val="正文文本 Char"/>
    <w:basedOn w:val="4"/>
    <w:link w:val="2"/>
    <w:semiHidden/>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10311</Words>
  <Characters>10785</Characters>
  <Lines>77</Lines>
  <Paragraphs>21</Paragraphs>
  <TotalTime>2</TotalTime>
  <ScaleCrop>false</ScaleCrop>
  <LinksUpToDate>false</LinksUpToDate>
  <CharactersWithSpaces>10817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2022-10-05T02:33:00Z</dcterms:created>
  <dc:creator>xb21cn</dc:creator>
  <cp:lastModifiedBy>Administrator</cp:lastModifiedBy>
  <dcterms:modified xsi:type="dcterms:W3CDTF">2022-10-05T03:06:11Z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A58FB2F2E1ED424A886DCAB10C155FEA</vt:lpwstr>
  </property>
</Properties>
</file>