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59CD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2022年度财政专项资金及专项债券资金绩效评价情况的报告</w:t>
      </w:r>
    </w:p>
    <w:p w14:paraId="41B2898D">
      <w:pPr>
        <w:rPr>
          <w:rFonts w:hint="eastAsia" w:ascii="仿宋_GB2312" w:hAnsi="仿宋_GB2312" w:eastAsia="仿宋_GB2312" w:cs="仿宋_GB2312"/>
          <w:sz w:val="32"/>
          <w:szCs w:val="32"/>
          <w:lang w:val="en-US" w:eastAsia="zh-CN"/>
        </w:rPr>
      </w:pPr>
    </w:p>
    <w:p w14:paraId="48450401">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——2023年12月19日在六届人大常委会第19次会议上</w:t>
      </w:r>
    </w:p>
    <w:p w14:paraId="54058856">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大祥区财政局局长 何晓峰</w:t>
      </w:r>
    </w:p>
    <w:p w14:paraId="7A1D0DB0">
      <w:pPr>
        <w:jc w:val="both"/>
        <w:rPr>
          <w:rFonts w:hint="eastAsia" w:ascii="仿宋_GB2312" w:hAnsi="仿宋_GB2312" w:eastAsia="仿宋_GB2312" w:cs="仿宋_GB2312"/>
          <w:sz w:val="32"/>
          <w:szCs w:val="32"/>
          <w:lang w:val="en-US" w:eastAsia="zh-CN"/>
        </w:rPr>
      </w:pPr>
    </w:p>
    <w:p w14:paraId="77F031F2">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主任、各位副主任：</w:t>
      </w:r>
    </w:p>
    <w:p w14:paraId="0320C5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全面实施预算绩效管理是党中央、国务院的重大决策部署。为推动全面实施预算绩效管理落地见效，中央顶格出</w:t>
      </w:r>
      <w:bookmarkStart w:id="0" w:name="_GoBack"/>
      <w:bookmarkEnd w:id="0"/>
      <w:r>
        <w:rPr>
          <w:rFonts w:hint="eastAsia" w:ascii="仿宋_GB2312" w:hAnsi="仿宋_GB2312" w:eastAsia="仿宋_GB2312" w:cs="仿宋_GB2312"/>
          <w:sz w:val="32"/>
          <w:szCs w:val="32"/>
          <w:lang w:val="en-US" w:eastAsia="zh-CN"/>
        </w:rPr>
        <w:t>台了实施意见，即《中共中央 国务院关于全面实施预算绩效管理的意见》（中发〔2018〕34号），并将全面实施预算绩效管理写进《预算法》，写进党的十九大决议。根据中央的精神，湖南省制定了一系列的预算绩效管理办法和操作细则，意在夯实主体责任，硬化激励约束，并提出到在全省基本建成“全方位、全过程、全覆盖”预算绩效管理体系。我区的预算绩效管理工作在区委、区政府正确领导和区人大的大力支持下，区财政局按照“做实绩效目标、做精绩效评价、用好评价结果”的总体思路，着力构建预算绩效管理体系，着力营造预算绩效氛围，着力提升预算绩效管理水平；下面我就今年财政专项资金及专项债券资金绩效评价的情况报告如下，敬请审议。</w:t>
      </w:r>
    </w:p>
    <w:p w14:paraId="039E569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预算绩效的总体情况</w:t>
      </w:r>
    </w:p>
    <w:p w14:paraId="11179F7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（一）预算绩效评价及部门自评情况</w:t>
      </w:r>
    </w:p>
    <w:p w14:paraId="5C942A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4月，区财政局下发了《关于开展2022年绩效评价工作的通知》，要求区级各部门对列入2022年预算管理的单位开展整体绩效评价自评，实现项目支出绩效自评全覆盖，全区87个单位开展了整体绩效自评，涉及财政资金143149万元，各单位进行自评打分，并撰写了自评报告。由于相关基础工作落实到位，我区财政支出绩效评价工作实施顺利，评价结果总体较好。</w:t>
      </w:r>
    </w:p>
    <w:p w14:paraId="249E6D6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（二）重点预算绩效评价情况</w:t>
      </w:r>
    </w:p>
    <w:p w14:paraId="7AA8B6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重点预算绩效评价项目9个（其中：专项债券项目2个，城乡居民基本医疗保险基金项目1个，政府购买服务项目1个，部门整体支出项目5个），金额共计46162.04万元 。项目使用涉及老旧小区改造、水环境治理、乡村振兴、城乡居民医疗基金等工作，都是覆盖面广、社会关注度高。由区财政局委托湖南湘亚联合会计事务所对2022年老旧小区改造项目专项债券资金2600万元、城乡居民医保基金专项资金18019万元和中心办部门整体支出资金2238.88万元开展现场绩效评价；湖南南方会计师事务所对湖南省邵阳市资江南岸雪峰桥至桂花桥水环境综合治理工程项目专项债券资金4500万元和区退役军人事务局部门整体支出资金5664万元开展现场绩效评价；邵阳宏升财务咨询有限公司对智慧环卫一体化项目一般债券资金4550万元、区农业农村局部门整体支出资金4484.06万元、区蔡锷故居部门整体支出资金2267万元和区市场监督管理局部门整体支出资金1839.1万元开展现场绩效评价。项目评价从业务、财务、效益三个指标内容进行分析，部门整体评价从预算配置、预算管理、产出与效果和社会评价四个指标内容进行评价，并组织实施，最终得出评价分和等级。重点评价的9个项目，绩效评价结果评定等级为良好，其中：4个专项资金绩效评价平均得分85.69分，5个部门整体支出绩效评价平均得分86.56分。（详见附件1）</w:t>
      </w:r>
    </w:p>
    <w:p w14:paraId="69FAA1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二、现场评价工作开展情况</w:t>
      </w:r>
    </w:p>
    <w:p w14:paraId="71ACB35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（一）精心组织安排，做细事前准备。</w:t>
      </w:r>
      <w:r>
        <w:rPr>
          <w:rFonts w:hint="eastAsia" w:ascii="仿宋_GB2312" w:hAnsi="仿宋_GB2312" w:eastAsia="仿宋_GB2312" w:cs="仿宋_GB2312"/>
          <w:sz w:val="32"/>
          <w:szCs w:val="32"/>
          <w:lang w:val="en-US" w:eastAsia="zh-CN"/>
        </w:rPr>
        <w:t>一是按照预算绩效管理提质增效的要求，确定评价依据、评价内容、评价步骤、评价要求。二是成立现场评价组织机构，组织协调评价过程。各项目成立现场评价组，负责绩效评价的数据采集、归纳、汇总、评议和评价报告的撰写。</w:t>
      </w:r>
    </w:p>
    <w:p w14:paraId="7BCED3F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（二）抓住关键环节，做实现场评价。</w:t>
      </w:r>
      <w:r>
        <w:rPr>
          <w:rFonts w:hint="eastAsia" w:ascii="仿宋_GB2312" w:hAnsi="仿宋_GB2312" w:eastAsia="仿宋_GB2312" w:cs="仿宋_GB2312"/>
          <w:sz w:val="32"/>
          <w:szCs w:val="32"/>
          <w:lang w:val="en-US" w:eastAsia="zh-CN"/>
        </w:rPr>
        <w:t>科学设置评价指标，细化量化投入、使用、产生、效益等个性指标，形成既体现绩效评价共性、又展示不同行业特性的绩效评价指标体系。紧扣绩效管理责任主体、资金运行、项目建设三条主线，重点分析资金经济效益、社会效益和生态效益的实现程度，挖掘资金管理和项目运行存在的主要问题，从经济性、效率性、效益性、公平性等方面对资金支出进行客观、公正的测量、评判。</w:t>
      </w:r>
    </w:p>
    <w:p w14:paraId="1570542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lang w:val="en-US" w:eastAsia="zh-CN"/>
        </w:rPr>
      </w:pPr>
      <w:r>
        <w:rPr>
          <w:rFonts w:hint="eastAsia" w:ascii="楷体_GB2312" w:hAnsi="楷体_GB2312" w:eastAsia="楷体_GB2312" w:cs="楷体_GB2312"/>
          <w:b/>
          <w:bCs/>
          <w:sz w:val="32"/>
          <w:szCs w:val="32"/>
          <w:lang w:val="en-US" w:eastAsia="zh-CN"/>
        </w:rPr>
        <w:t>（三）精确把握尺度，合理划定等级。</w:t>
      </w:r>
      <w:r>
        <w:rPr>
          <w:rFonts w:hint="eastAsia" w:ascii="仿宋_GB2312" w:hAnsi="仿宋_GB2312" w:eastAsia="仿宋_GB2312" w:cs="仿宋_GB2312"/>
          <w:sz w:val="32"/>
          <w:szCs w:val="32"/>
          <w:lang w:val="en-US" w:eastAsia="zh-CN"/>
        </w:rPr>
        <w:t>绩效评价结果分优、良、较差、差四个等级，采取评价与评级相结合的形式：90（含）—100分为优，80（含）—90分为良，70（含）—80分为较差，70分以下为差。为做到精准语言，评价指导组从报告撰写开始进行全过程指导、审核，重大问题实行综合评议。</w:t>
      </w:r>
    </w:p>
    <w:p w14:paraId="62E250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三、专项资金及专项债券资金绩效评价发掘的主要成效</w:t>
      </w:r>
    </w:p>
    <w:p w14:paraId="4CE512D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（一）制度建设不断加强，工作方式有所创新。</w:t>
      </w:r>
      <w:r>
        <w:rPr>
          <w:rFonts w:hint="eastAsia" w:ascii="仿宋_GB2312" w:hAnsi="仿宋_GB2312" w:eastAsia="仿宋_GB2312" w:cs="仿宋_GB2312"/>
          <w:sz w:val="32"/>
          <w:szCs w:val="32"/>
          <w:lang w:val="en-US" w:eastAsia="zh-CN"/>
        </w:rPr>
        <w:t>项目单位在项目建设和资金使用过程中，能够围绕绩效目标，建立健全工作机制，明确岗位职责，让绩效理念贯穿项目建设全过程。</w:t>
      </w:r>
      <w:r>
        <w:rPr>
          <w:rFonts w:hint="eastAsia" w:ascii="仿宋_GB2312" w:hAnsi="仿宋_GB2312" w:eastAsia="仿宋_GB2312" w:cs="仿宋_GB2312"/>
          <w:color w:val="auto"/>
          <w:sz w:val="32"/>
          <w:szCs w:val="32"/>
          <w:lang w:val="en-US" w:eastAsia="zh-CN"/>
        </w:rPr>
        <w:t>如2022年城镇老旧小区改造项目在项目建设过程中实行资金使用与绩效双监控，预算执行率达到了100%，项目支出规范，项目实施顺畅，未发现截留、挤占、挪用、虚列支出等现象。</w:t>
      </w:r>
    </w:p>
    <w:p w14:paraId="2A51B99C">
      <w:pPr>
        <w:numPr>
          <w:ilvl w:val="0"/>
          <w:numId w:val="0"/>
        </w:numPr>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（二）项目选择注重民生，资金使用注重绩效。</w:t>
      </w:r>
      <w:r>
        <w:rPr>
          <w:rFonts w:hint="eastAsia" w:ascii="楷体_GB2312" w:hAnsi="楷体_GB2312" w:eastAsia="楷体_GB2312" w:cs="楷体_GB2312"/>
          <w:b w:val="0"/>
          <w:bCs w:val="0"/>
          <w:color w:val="auto"/>
          <w:sz w:val="32"/>
          <w:szCs w:val="32"/>
          <w:lang w:val="en-US" w:eastAsia="zh-CN"/>
        </w:rPr>
        <w:t xml:space="preserve"> 9</w:t>
      </w:r>
      <w:r>
        <w:rPr>
          <w:rFonts w:hint="eastAsia" w:ascii="仿宋_GB2312" w:hAnsi="仿宋_GB2312" w:eastAsia="仿宋_GB2312" w:cs="仿宋_GB2312"/>
          <w:b w:val="0"/>
          <w:bCs w:val="0"/>
          <w:color w:val="auto"/>
          <w:sz w:val="32"/>
          <w:szCs w:val="32"/>
          <w:lang w:val="en-US" w:eastAsia="zh-CN"/>
        </w:rPr>
        <w:t>个重点评价项目，其中：</w:t>
      </w:r>
      <w:r>
        <w:rPr>
          <w:rFonts w:hint="eastAsia" w:ascii="仿宋_GB2312" w:hAnsi="仿宋_GB2312" w:eastAsia="仿宋_GB2312" w:cs="仿宋_GB2312"/>
          <w:color w:val="auto"/>
          <w:sz w:val="32"/>
          <w:szCs w:val="32"/>
          <w:lang w:val="en-US" w:eastAsia="zh-CN"/>
        </w:rPr>
        <w:t>水环境污染防治项目1个，基础设施项目1个，医疗基金项目1个，环境卫生项目1个，城乡社区建设项目1个，文化与旅游项目1个，农业农村建设项目1个，市场监督项目1个，退役军人事务项目1个。这些项目实施，即有直接经济效益，也有社会效益，生态效益和人文效益。</w:t>
      </w:r>
      <w:r>
        <w:rPr>
          <w:rFonts w:hint="eastAsia" w:ascii="仿宋_GB2312" w:hAnsi="仿宋_GB2312" w:eastAsia="仿宋_GB2312" w:cs="仿宋_GB2312"/>
          <w:b w:val="0"/>
          <w:bCs w:val="0"/>
          <w:color w:val="auto"/>
          <w:sz w:val="32"/>
          <w:szCs w:val="32"/>
          <w:lang w:val="en-US" w:eastAsia="zh-CN"/>
        </w:rPr>
        <w:t>一是增进民生福祉。</w:t>
      </w:r>
      <w:r>
        <w:rPr>
          <w:rFonts w:hint="eastAsia" w:ascii="仿宋_GB2312" w:hAnsi="仿宋" w:eastAsia="仿宋_GB2312" w:cs="Times New Roman"/>
          <w:spacing w:val="-8"/>
          <w:sz w:val="32"/>
          <w:szCs w:val="32"/>
          <w:highlight w:val="none"/>
          <w:lang w:val="en-US" w:eastAsia="zh-CN"/>
        </w:rPr>
        <w:t>邵阳市资江南岸雪峰桥至桂花桥段综合治理工程项目</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综合效益的惠民工程，项目实施后，</w:t>
      </w:r>
      <w:r>
        <w:rPr>
          <w:rFonts w:hint="eastAsia" w:ascii="Times New Roman" w:hAnsi="Times New Roman" w:eastAsia="仿宋_GB2312"/>
          <w:sz w:val="32"/>
          <w:szCs w:val="32"/>
          <w:lang w:val="en-US" w:eastAsia="zh-CN"/>
        </w:rPr>
        <w:t>将为邵阳市城乡居民提供优质的休闲场所</w:t>
      </w:r>
      <w:r>
        <w:rPr>
          <w:rFonts w:hint="eastAsia" w:ascii="Times New Roman" w:hAnsi="Times New Roman" w:eastAsia="仿宋_GB2312"/>
          <w:sz w:val="32"/>
          <w:szCs w:val="32"/>
        </w:rPr>
        <w:t>，有利于改善当地生态环境，提升城市品位，促进居民健康</w:t>
      </w:r>
      <w:r>
        <w:rPr>
          <w:rFonts w:hint="eastAsia" w:ascii="Times New Roman" w:hAnsi="Times New Roman" w:eastAsia="仿宋_GB2312"/>
          <w:sz w:val="32"/>
          <w:szCs w:val="32"/>
          <w:lang w:eastAsia="zh-CN"/>
        </w:rPr>
        <w:t>。老旧小区改造</w:t>
      </w:r>
      <w:r>
        <w:rPr>
          <w:rFonts w:hint="eastAsia" w:ascii="仿宋" w:hAnsi="仿宋" w:eastAsia="仿宋" w:cs="仿宋"/>
          <w:b w:val="0"/>
          <w:bCs w:val="0"/>
          <w:sz w:val="32"/>
          <w:szCs w:val="32"/>
          <w:lang w:val="en-US" w:eastAsia="zh-CN"/>
        </w:rPr>
        <w:t>项目完善了道路、雨水、污水、电等基础设施，沿线周边商业等服务设施的开发，都将对项目区及周边居民的生活质量有较大的提高。城乡居民基本医疗保险基金项目的实施</w:t>
      </w:r>
      <w:r>
        <w:rPr>
          <w:rFonts w:hint="eastAsia" w:ascii="仿宋" w:hAnsi="仿宋" w:eastAsia="仿宋" w:cs="仿宋"/>
          <w:kern w:val="2"/>
          <w:sz w:val="32"/>
          <w:szCs w:val="32"/>
          <w:lang w:val="en-US" w:eastAsia="zh-CN" w:bidi="ar-SA"/>
        </w:rPr>
        <w:t>实现了大祥区的社会稳定与和谐，为城乡居民提供了医疗保障，</w:t>
      </w:r>
      <w:r>
        <w:rPr>
          <w:rFonts w:hint="eastAsia" w:ascii="仿宋" w:hAnsi="仿宋" w:eastAsia="仿宋" w:cs="仿宋"/>
          <w:b w:val="0"/>
          <w:bCs w:val="0"/>
          <w:sz w:val="32"/>
          <w:szCs w:val="32"/>
          <w:lang w:val="en-US" w:eastAsia="zh-CN"/>
        </w:rPr>
        <w:t>支付结算及时，提高了参保人的医疗保障水平，减轻了医疗负担，</w:t>
      </w:r>
      <w:r>
        <w:rPr>
          <w:rFonts w:hint="eastAsia" w:ascii="仿宋" w:hAnsi="仿宋" w:eastAsia="仿宋" w:cs="仿宋"/>
          <w:kern w:val="2"/>
          <w:sz w:val="32"/>
          <w:szCs w:val="32"/>
          <w:lang w:val="en-US" w:eastAsia="zh-CN" w:bidi="ar-SA"/>
        </w:rPr>
        <w:t>提高了城乡居民的幸福感和获得感。</w:t>
      </w:r>
      <w:r>
        <w:rPr>
          <w:rFonts w:hint="eastAsia" w:ascii="仿宋_GB2312" w:hAnsi="仿宋_GB2312" w:eastAsia="仿宋_GB2312" w:cs="仿宋_GB2312"/>
          <w:b w:val="0"/>
          <w:bCs w:val="0"/>
          <w:color w:val="auto"/>
          <w:sz w:val="32"/>
          <w:szCs w:val="32"/>
          <w:lang w:val="en-US" w:eastAsia="zh-CN"/>
        </w:rPr>
        <w:t>二是助力乡村振兴。如农村人居环境整治直接改善了农村环境的现状，促进地区产业增产增收。三是增强城市发展。智慧环卫一体化建设项目的实施，改善了</w:t>
      </w:r>
      <w:r>
        <w:rPr>
          <w:rFonts w:hint="eastAsia" w:eastAsia="仿宋_GB2312"/>
          <w:color w:val="auto"/>
          <w:sz w:val="32"/>
          <w:szCs w:val="32"/>
          <w:lang w:val="en-US" w:eastAsia="zh-CN"/>
        </w:rPr>
        <w:t>市容市貌，提升城市形象；垃圾循环利用，实现“资源节约、环境友好、城乡统筹”的生态发展模式；提供劳动保障，增加了社会就业，取得了较好的社会效益。</w:t>
      </w:r>
    </w:p>
    <w:p w14:paraId="6C5B73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（三）绩效理论明显加强，绩效氛围逐步形成。</w:t>
      </w:r>
      <w:r>
        <w:rPr>
          <w:rFonts w:hint="eastAsia" w:ascii="仿宋_GB2312" w:hAnsi="仿宋_GB2312" w:eastAsia="仿宋_GB2312" w:cs="仿宋_GB2312"/>
          <w:color w:val="auto"/>
          <w:sz w:val="32"/>
          <w:szCs w:val="32"/>
          <w:lang w:eastAsia="zh-CN"/>
        </w:rPr>
        <w:t>一是项目单位重视绩效，按照绩效管理要求，明确绩效责任，规范工作流程。如</w:t>
      </w:r>
      <w:r>
        <w:rPr>
          <w:rFonts w:hint="eastAsia" w:ascii="仿宋_GB2312" w:hAnsi="仿宋_GB2312" w:eastAsia="仿宋_GB2312" w:cs="仿宋_GB2312"/>
          <w:color w:val="auto"/>
          <w:sz w:val="32"/>
          <w:szCs w:val="32"/>
          <w:lang w:val="en-US" w:eastAsia="zh-CN"/>
        </w:rPr>
        <w:t>老旧小区改造建设资金从项目论证、立项、采购、施工、验收，全程引进绩效理念，用绩效理念管理项目，管理资金。二是项目实施单位主动对接评价机构、积极配合现场评价，没有出现明显的不支持、不配合绩效评价的现象。三是现场评价边评边改，评改结合，大部分被项目单位能正视评价过程发现的问题，对问题能改则改，应改尽改。</w:t>
      </w:r>
    </w:p>
    <w:p w14:paraId="728C2F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四、专项资金绩效评价发现的主要问题</w:t>
      </w:r>
    </w:p>
    <w:p w14:paraId="0CA55C9D">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default" w:eastAsia="楷体_GB2312" w:cs="宋体"/>
          <w:kern w:val="2"/>
          <w:sz w:val="32"/>
          <w:szCs w:val="32"/>
          <w:lang w:val="en-US" w:eastAsia="zh-CN" w:bidi="ar-SA"/>
        </w:rPr>
      </w:pPr>
      <w:r>
        <w:rPr>
          <w:rFonts w:ascii="楷体_GB2312" w:eastAsia="楷体_GB2312"/>
          <w:b/>
          <w:bCs/>
          <w:sz w:val="32"/>
          <w:szCs w:val="32"/>
        </w:rPr>
        <w:t>（</w:t>
      </w:r>
      <w:r>
        <w:rPr>
          <w:rFonts w:hint="eastAsia" w:ascii="楷体_GB2312" w:eastAsia="楷体_GB2312"/>
          <w:b/>
          <w:bCs/>
          <w:sz w:val="32"/>
          <w:szCs w:val="32"/>
          <w:lang w:val="en-US" w:eastAsia="zh-CN"/>
        </w:rPr>
        <w:t>一</w:t>
      </w:r>
      <w:r>
        <w:rPr>
          <w:rFonts w:ascii="楷体_GB2312" w:eastAsia="楷体_GB2312"/>
          <w:b/>
          <w:bCs/>
          <w:sz w:val="32"/>
          <w:szCs w:val="32"/>
        </w:rPr>
        <w:t>）</w:t>
      </w:r>
      <w:r>
        <w:rPr>
          <w:rFonts w:hint="eastAsia" w:ascii="楷体_GB2312" w:eastAsia="楷体_GB2312"/>
          <w:b/>
          <w:bCs/>
          <w:sz w:val="32"/>
          <w:szCs w:val="32"/>
          <w:lang w:val="en-US" w:eastAsia="zh-CN"/>
        </w:rPr>
        <w:t>绩效管理意识有待提高</w:t>
      </w:r>
    </w:p>
    <w:p w14:paraId="37175D8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lang w:val="en-US" w:eastAsia="zh-CN"/>
        </w:rPr>
      </w:pPr>
      <w:r>
        <w:rPr>
          <w:rFonts w:hint="eastAsia" w:eastAsia="仿宋_GB2312" w:cs="宋体"/>
          <w:kern w:val="2"/>
          <w:sz w:val="32"/>
          <w:szCs w:val="32"/>
          <w:lang w:val="en-US" w:eastAsia="zh-CN" w:bidi="ar-SA"/>
        </w:rPr>
        <w:t>部分单位</w:t>
      </w:r>
      <w:r>
        <w:rPr>
          <w:rFonts w:hint="eastAsia" w:ascii="Times New Roman" w:hAnsi="Times New Roman" w:eastAsia="仿宋_GB2312" w:cs="宋体"/>
          <w:kern w:val="2"/>
          <w:sz w:val="32"/>
          <w:szCs w:val="32"/>
          <w:lang w:val="en-US" w:eastAsia="zh-CN" w:bidi="ar-SA"/>
        </w:rPr>
        <w:t>对债券项目的绩效管理相关概念理解还不够透彻，</w:t>
      </w:r>
      <w:r>
        <w:rPr>
          <w:rFonts w:hint="eastAsia" w:eastAsia="仿宋_GB2312" w:cs="宋体"/>
          <w:kern w:val="2"/>
          <w:sz w:val="32"/>
          <w:szCs w:val="32"/>
          <w:lang w:val="en-US" w:eastAsia="zh-CN" w:bidi="ar-SA"/>
        </w:rPr>
        <w:t>未对</w:t>
      </w:r>
      <w:r>
        <w:rPr>
          <w:rFonts w:eastAsia="仿宋_GB2312"/>
          <w:color w:val="000000"/>
          <w:sz w:val="32"/>
          <w:szCs w:val="32"/>
        </w:rPr>
        <w:t>绩效目标实现程度，债券资金使用进度，目标保障措施，目标偏差情况</w:t>
      </w:r>
      <w:r>
        <w:rPr>
          <w:rFonts w:hint="eastAsia" w:eastAsia="仿宋_GB2312"/>
          <w:color w:val="000000"/>
          <w:sz w:val="32"/>
          <w:szCs w:val="32"/>
          <w:lang w:val="en-US" w:eastAsia="zh-CN"/>
        </w:rPr>
        <w:t>进行监控，</w:t>
      </w:r>
      <w:r>
        <w:rPr>
          <w:rFonts w:hint="eastAsia" w:ascii="Times New Roman" w:hAnsi="Times New Roman" w:eastAsia="仿宋_GB2312" w:cs="宋体"/>
          <w:kern w:val="2"/>
          <w:sz w:val="32"/>
          <w:szCs w:val="32"/>
          <w:lang w:val="en-US" w:eastAsia="zh-CN" w:bidi="ar-SA"/>
        </w:rPr>
        <w:t>在绩效目标管理、绩效监控等方面还需加强进一步的学习。</w:t>
      </w:r>
    </w:p>
    <w:p w14:paraId="465ACAFB">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rPr>
          <w:rFonts w:hint="eastAsia" w:ascii="楷体_GB2312" w:eastAsia="楷体_GB2312"/>
          <w:b/>
          <w:bCs/>
          <w:sz w:val="32"/>
          <w:szCs w:val="32"/>
          <w:lang w:eastAsia="zh-CN"/>
        </w:rPr>
      </w:pPr>
      <w:r>
        <w:rPr>
          <w:rFonts w:hint="eastAsia" w:ascii="楷体_GB2312" w:eastAsia="楷体_GB2312"/>
          <w:b/>
          <w:bCs/>
          <w:sz w:val="32"/>
          <w:szCs w:val="32"/>
          <w:lang w:eastAsia="zh-CN"/>
        </w:rPr>
        <w:t>（</w:t>
      </w:r>
      <w:r>
        <w:rPr>
          <w:rFonts w:hint="eastAsia" w:ascii="楷体_GB2312" w:eastAsia="楷体_GB2312"/>
          <w:b/>
          <w:bCs/>
          <w:sz w:val="32"/>
          <w:szCs w:val="32"/>
          <w:lang w:val="en-US" w:eastAsia="zh-CN"/>
        </w:rPr>
        <w:t>二</w:t>
      </w:r>
      <w:r>
        <w:rPr>
          <w:rFonts w:hint="eastAsia" w:ascii="楷体_GB2312" w:eastAsia="楷体_GB2312"/>
          <w:b/>
          <w:bCs/>
          <w:sz w:val="32"/>
          <w:szCs w:val="32"/>
          <w:lang w:eastAsia="zh-CN"/>
        </w:rPr>
        <w:t>）</w:t>
      </w:r>
      <w:r>
        <w:rPr>
          <w:rFonts w:hint="eastAsia" w:ascii="楷体_GB2312" w:eastAsia="楷体_GB2312"/>
          <w:b/>
          <w:bCs/>
          <w:sz w:val="32"/>
          <w:szCs w:val="32"/>
        </w:rPr>
        <w:t>项目管理制度</w:t>
      </w:r>
      <w:r>
        <w:rPr>
          <w:rFonts w:hint="eastAsia" w:ascii="楷体_GB2312" w:eastAsia="楷体_GB2312"/>
          <w:b/>
          <w:bCs/>
          <w:sz w:val="32"/>
          <w:szCs w:val="32"/>
          <w:lang w:eastAsia="zh-CN"/>
        </w:rPr>
        <w:t>不健全</w:t>
      </w:r>
    </w:p>
    <w:p w14:paraId="26429154">
      <w:pPr>
        <w:keepNext w:val="0"/>
        <w:keepLines w:val="0"/>
        <w:pageBreakBefore w:val="0"/>
        <w:widowControl w:val="0"/>
        <w:tabs>
          <w:tab w:val="left" w:pos="1560"/>
        </w:tabs>
        <w:kinsoku/>
        <w:wordWrap/>
        <w:overflowPunct/>
        <w:topLinePunct w:val="0"/>
        <w:autoSpaceDE/>
        <w:autoSpaceDN/>
        <w:bidi w:val="0"/>
        <w:adjustRightInd w:val="0"/>
        <w:snapToGrid/>
        <w:spacing w:line="600" w:lineRule="exact"/>
        <w:ind w:firstLine="640" w:firstLineChars="200"/>
        <w:textAlignment w:val="auto"/>
        <w:rPr>
          <w:rFonts w:hint="eastAsia"/>
          <w:lang w:val="en-US" w:eastAsia="zh-CN"/>
        </w:rPr>
      </w:pPr>
      <w:r>
        <w:rPr>
          <w:rFonts w:hint="eastAsia" w:eastAsia="仿宋_GB2312"/>
          <w:sz w:val="32"/>
          <w:szCs w:val="32"/>
        </w:rPr>
        <w:t>根据项目实际情况</w:t>
      </w:r>
      <w:r>
        <w:rPr>
          <w:rFonts w:hint="eastAsia" w:eastAsia="仿宋_GB2312"/>
          <w:sz w:val="32"/>
          <w:szCs w:val="32"/>
          <w:lang w:eastAsia="zh-CN"/>
        </w:rPr>
        <w:t>没有</w:t>
      </w:r>
      <w:r>
        <w:rPr>
          <w:rFonts w:hint="eastAsia" w:eastAsia="仿宋_GB2312"/>
          <w:sz w:val="32"/>
          <w:szCs w:val="32"/>
        </w:rPr>
        <w:t>建立专门的项目管理制度，包括项目施工管理、采购管理、合同管理、进度管理、质量管理、成本管理等各方面的内容，以明文规定来进一步加强对项目的日常管理，确保项目建设和运营稳步推进。</w:t>
      </w:r>
    </w:p>
    <w:p w14:paraId="47F05F40">
      <w:pPr>
        <w:keepNext w:val="0"/>
        <w:keepLines w:val="0"/>
        <w:pageBreakBefore w:val="0"/>
        <w:widowControl w:val="0"/>
        <w:kinsoku/>
        <w:wordWrap/>
        <w:overflowPunct/>
        <w:topLinePunct w:val="0"/>
        <w:autoSpaceDE/>
        <w:autoSpaceDN/>
        <w:bidi w:val="0"/>
        <w:snapToGrid/>
        <w:spacing w:line="600" w:lineRule="exact"/>
        <w:ind w:firstLine="643" w:firstLineChars="200"/>
        <w:textAlignment w:val="auto"/>
        <w:outlineLvl w:val="1"/>
        <w:rPr>
          <w:rFonts w:hint="eastAsia" w:ascii="楷体_GB2312" w:hAnsi="Times New Roman" w:eastAsia="楷体_GB2312" w:cs="Times New Roman"/>
          <w:b/>
          <w:bCs/>
          <w:sz w:val="32"/>
          <w:szCs w:val="32"/>
        </w:rPr>
      </w:pPr>
      <w:r>
        <w:rPr>
          <w:rFonts w:hint="eastAsia" w:ascii="楷体_GB2312" w:eastAsia="楷体_GB2312" w:cs="Times New Roman"/>
          <w:b/>
          <w:bCs/>
          <w:sz w:val="32"/>
          <w:szCs w:val="32"/>
          <w:lang w:eastAsia="zh-CN"/>
        </w:rPr>
        <w:t>（三）</w:t>
      </w:r>
      <w:r>
        <w:rPr>
          <w:rFonts w:hint="eastAsia" w:ascii="楷体_GB2312" w:eastAsia="楷体_GB2312" w:cs="Times New Roman"/>
          <w:b/>
          <w:bCs/>
          <w:sz w:val="32"/>
          <w:szCs w:val="32"/>
          <w:lang w:val="en-US" w:eastAsia="zh-CN"/>
        </w:rPr>
        <w:t>完善</w:t>
      </w:r>
      <w:r>
        <w:rPr>
          <w:rFonts w:hint="eastAsia" w:ascii="楷体_GB2312" w:hAnsi="Times New Roman" w:eastAsia="楷体_GB2312" w:cs="Times New Roman"/>
          <w:b/>
          <w:bCs/>
          <w:sz w:val="32"/>
          <w:szCs w:val="32"/>
        </w:rPr>
        <w:t>项目实施过程管理</w:t>
      </w:r>
    </w:p>
    <w:p w14:paraId="4BA7F87D">
      <w:pPr>
        <w:keepNext w:val="0"/>
        <w:keepLines w:val="0"/>
        <w:pageBreakBefore w:val="0"/>
        <w:widowControl w:val="0"/>
        <w:tabs>
          <w:tab w:val="left" w:pos="1560"/>
        </w:tabs>
        <w:kinsoku/>
        <w:wordWrap/>
        <w:overflowPunct/>
        <w:topLinePunct w:val="0"/>
        <w:autoSpaceDE/>
        <w:autoSpaceDN/>
        <w:bidi w:val="0"/>
        <w:adjustRightInd w:val="0"/>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单位在项目实施中过程未进行</w:t>
      </w:r>
      <w:r>
        <w:rPr>
          <w:rFonts w:hint="eastAsia" w:eastAsia="仿宋_GB2312"/>
          <w:sz w:val="32"/>
          <w:szCs w:val="32"/>
        </w:rPr>
        <w:t>事中监控管理</w:t>
      </w:r>
      <w:r>
        <w:rPr>
          <w:rFonts w:hint="eastAsia" w:eastAsia="仿宋_GB2312"/>
          <w:sz w:val="32"/>
          <w:szCs w:val="32"/>
          <w:lang w:eastAsia="zh-CN"/>
        </w:rPr>
        <w:t>，</w:t>
      </w:r>
      <w:r>
        <w:rPr>
          <w:rFonts w:hint="eastAsia" w:eastAsia="仿宋_GB2312"/>
          <w:sz w:val="32"/>
          <w:szCs w:val="32"/>
          <w:lang w:val="en-US" w:eastAsia="zh-CN"/>
        </w:rPr>
        <w:t>导致绩效管理工作缺少事中监控环节，对项目的预算执行进度和绩效目标实现程度不能有效控制，对绩效目标执行偏差和管理漏洞。</w:t>
      </w:r>
    </w:p>
    <w:p w14:paraId="580D66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五、我区预算绩效管理工作的下一步思路和建议</w:t>
      </w:r>
    </w:p>
    <w:p w14:paraId="740701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（一）夯实主体责任，硬化责任约束。</w:t>
      </w:r>
      <w:r>
        <w:rPr>
          <w:rFonts w:hint="eastAsia" w:ascii="仿宋_GB2312" w:hAnsi="仿宋_GB2312" w:eastAsia="仿宋_GB2312" w:cs="仿宋_GB2312"/>
          <w:sz w:val="32"/>
          <w:szCs w:val="32"/>
          <w:lang w:val="en-US" w:eastAsia="zh-CN"/>
        </w:rPr>
        <w:t>紧扣重点任务，明确预算绩效管理主体责任；健全绩效自评、部门评价结果抽查和财政再评价机制，突出评价重点，集中评价力量，提升评价结果的权威性和公正性，全面推动预算绩效管理。</w:t>
      </w:r>
    </w:p>
    <w:p w14:paraId="55B147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（二）加强绩效目标编制指导，筑牢绩效管理管理基础。</w:t>
      </w:r>
      <w:r>
        <w:rPr>
          <w:rFonts w:hint="eastAsia" w:ascii="仿宋_GB2312" w:hAnsi="仿宋_GB2312" w:eastAsia="仿宋_GB2312" w:cs="仿宋_GB2312"/>
          <w:sz w:val="32"/>
          <w:szCs w:val="32"/>
          <w:lang w:val="en-US" w:eastAsia="zh-CN"/>
        </w:rPr>
        <w:t>拟在编制2024年部门预算时，对预算单位绩效目标编制进行指导，切实提高绩效目标的编制质量；并探讨引进第三方机构参与预算绩效全过程管理。</w:t>
      </w:r>
    </w:p>
    <w:p w14:paraId="07DE31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（三）优化资金分配，提升资金绩效。</w:t>
      </w:r>
      <w:r>
        <w:rPr>
          <w:rFonts w:hint="eastAsia" w:ascii="仿宋_GB2312" w:hAnsi="仿宋_GB2312" w:eastAsia="仿宋_GB2312" w:cs="仿宋_GB2312"/>
          <w:sz w:val="32"/>
          <w:szCs w:val="32"/>
          <w:lang w:val="en-US" w:eastAsia="zh-CN"/>
        </w:rPr>
        <w:t>坚持预算资金向民生项目倾斜，向重点项目倾斜，做到握紧拳头保重点，集中财力办大事。对未实施或实施难达预期目标的项目，应及时调整项目、收回资金。</w:t>
      </w:r>
    </w:p>
    <w:p w14:paraId="260ED8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（四）强化结果应用，树立工作权威。</w:t>
      </w:r>
      <w:r>
        <w:rPr>
          <w:rFonts w:hint="eastAsia" w:ascii="仿宋_GB2312" w:hAnsi="仿宋_GB2312" w:eastAsia="仿宋_GB2312" w:cs="仿宋_GB2312"/>
          <w:sz w:val="32"/>
          <w:szCs w:val="32"/>
          <w:lang w:val="en-US" w:eastAsia="zh-CN"/>
        </w:rPr>
        <w:t>一是抓好问题整改，对评价发现的问题，督促被评价单位认真整改，及时反馈整改情况。二是及时公开绩效评价报告，接受社会监督。</w:t>
      </w:r>
    </w:p>
    <w:p w14:paraId="428A00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70286A16">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附件1：2023年预算绩效评价评分表</w:t>
      </w:r>
    </w:p>
    <w:p w14:paraId="52BDA9FB">
      <w:pPr>
        <w:pStyle w:val="2"/>
        <w:rPr>
          <w:rFonts w:hint="eastAsia"/>
          <w:lang w:val="en-US" w:eastAsia="zh-CN"/>
        </w:rPr>
      </w:pPr>
    </w:p>
    <w:p w14:paraId="149160FD">
      <w:pPr>
        <w:pStyle w:val="2"/>
        <w:rPr>
          <w:rFonts w:hint="default"/>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268" w:right="1701" w:bottom="1701" w:left="1701"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4F3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F4B94">
                          <w:pPr>
                            <w:pStyle w:val="9"/>
                            <w:rPr>
                              <w:rFonts w:hint="eastAsia" w:asciiTheme="minorEastAsia" w:hAnsiTheme="minorEastAsia" w:eastAsiaTheme="minorEastAsia" w:cstheme="minorEastAsia"/>
                              <w:strike w:val="0"/>
                              <w:dstrike w:val="0"/>
                              <w:sz w:val="28"/>
                              <w:szCs w:val="28"/>
                            </w:rPr>
                          </w:pPr>
                          <w:r>
                            <w:rPr>
                              <w:rFonts w:hint="eastAsia" w:asciiTheme="minorEastAsia" w:hAnsiTheme="minorEastAsia" w:eastAsiaTheme="minorEastAsia" w:cstheme="minorEastAsia"/>
                              <w:strike w:val="0"/>
                              <w:dstrike w:val="0"/>
                              <w:sz w:val="28"/>
                              <w:szCs w:val="28"/>
                            </w:rPr>
                            <w:t xml:space="preserve">— </w:t>
                          </w:r>
                          <w:r>
                            <w:rPr>
                              <w:rFonts w:hint="eastAsia" w:asciiTheme="minorEastAsia" w:hAnsiTheme="minorEastAsia" w:eastAsiaTheme="minorEastAsia" w:cstheme="minorEastAsia"/>
                              <w:strike w:val="0"/>
                              <w:dstrike w:val="0"/>
                              <w:sz w:val="28"/>
                              <w:szCs w:val="28"/>
                            </w:rPr>
                            <w:fldChar w:fldCharType="begin"/>
                          </w:r>
                          <w:r>
                            <w:rPr>
                              <w:rFonts w:hint="eastAsia" w:asciiTheme="minorEastAsia" w:hAnsiTheme="minorEastAsia" w:eastAsiaTheme="minorEastAsia" w:cstheme="minorEastAsia"/>
                              <w:strike w:val="0"/>
                              <w:dstrike w:val="0"/>
                              <w:sz w:val="28"/>
                              <w:szCs w:val="28"/>
                            </w:rPr>
                            <w:instrText xml:space="preserve"> PAGE  \* MERGEFORMAT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strike w:val="0"/>
                              <w:dstrike w:val="0"/>
                              <w:sz w:val="28"/>
                              <w:szCs w:val="28"/>
                            </w:rPr>
                            <w:t>1</w:t>
                          </w:r>
                          <w:r>
                            <w:rPr>
                              <w:rFonts w:hint="eastAsia" w:asciiTheme="minorEastAsia" w:hAnsiTheme="minorEastAsia" w:eastAsiaTheme="minorEastAsia" w:cstheme="minorEastAsia"/>
                              <w:strike w:val="0"/>
                              <w:dstrike w:val="0"/>
                              <w:sz w:val="28"/>
                              <w:szCs w:val="28"/>
                            </w:rPr>
                            <w:fldChar w:fldCharType="end"/>
                          </w:r>
                          <w:r>
                            <w:rPr>
                              <w:rFonts w:hint="eastAsia" w:asciiTheme="minorEastAsia" w:hAnsiTheme="minorEastAsia" w:eastAsiaTheme="minorEastAsia" w:cstheme="minorEastAsia"/>
                              <w:strike w:val="0"/>
                              <w:dstrike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F4B94">
                    <w:pPr>
                      <w:pStyle w:val="9"/>
                      <w:rPr>
                        <w:rFonts w:hint="eastAsia" w:asciiTheme="minorEastAsia" w:hAnsiTheme="minorEastAsia" w:eastAsiaTheme="minorEastAsia" w:cstheme="minorEastAsia"/>
                        <w:strike w:val="0"/>
                        <w:dstrike w:val="0"/>
                        <w:sz w:val="28"/>
                        <w:szCs w:val="28"/>
                      </w:rPr>
                    </w:pPr>
                    <w:r>
                      <w:rPr>
                        <w:rFonts w:hint="eastAsia" w:asciiTheme="minorEastAsia" w:hAnsiTheme="minorEastAsia" w:eastAsiaTheme="minorEastAsia" w:cstheme="minorEastAsia"/>
                        <w:strike w:val="0"/>
                        <w:dstrike w:val="0"/>
                        <w:sz w:val="28"/>
                        <w:szCs w:val="28"/>
                      </w:rPr>
                      <w:t xml:space="preserve">— </w:t>
                    </w:r>
                    <w:r>
                      <w:rPr>
                        <w:rFonts w:hint="eastAsia" w:asciiTheme="minorEastAsia" w:hAnsiTheme="minorEastAsia" w:eastAsiaTheme="minorEastAsia" w:cstheme="minorEastAsia"/>
                        <w:strike w:val="0"/>
                        <w:dstrike w:val="0"/>
                        <w:sz w:val="28"/>
                        <w:szCs w:val="28"/>
                      </w:rPr>
                      <w:fldChar w:fldCharType="begin"/>
                    </w:r>
                    <w:r>
                      <w:rPr>
                        <w:rFonts w:hint="eastAsia" w:asciiTheme="minorEastAsia" w:hAnsiTheme="minorEastAsia" w:eastAsiaTheme="minorEastAsia" w:cstheme="minorEastAsia"/>
                        <w:strike w:val="0"/>
                        <w:dstrike w:val="0"/>
                        <w:sz w:val="28"/>
                        <w:szCs w:val="28"/>
                      </w:rPr>
                      <w:instrText xml:space="preserve"> PAGE  \* MERGEFORMAT </w:instrText>
                    </w:r>
                    <w:r>
                      <w:rPr>
                        <w:rFonts w:hint="eastAsia" w:asciiTheme="minorEastAsia" w:hAnsiTheme="minorEastAsia" w:eastAsiaTheme="minorEastAsia" w:cstheme="minorEastAsia"/>
                        <w:strike w:val="0"/>
                        <w:dstrike w:val="0"/>
                        <w:sz w:val="28"/>
                        <w:szCs w:val="28"/>
                      </w:rPr>
                      <w:fldChar w:fldCharType="separate"/>
                    </w:r>
                    <w:r>
                      <w:rPr>
                        <w:rFonts w:hint="eastAsia" w:asciiTheme="minorEastAsia" w:hAnsiTheme="minorEastAsia" w:eastAsiaTheme="minorEastAsia" w:cstheme="minorEastAsia"/>
                        <w:strike w:val="0"/>
                        <w:dstrike w:val="0"/>
                        <w:sz w:val="28"/>
                        <w:szCs w:val="28"/>
                      </w:rPr>
                      <w:t>1</w:t>
                    </w:r>
                    <w:r>
                      <w:rPr>
                        <w:rFonts w:hint="eastAsia" w:asciiTheme="minorEastAsia" w:hAnsiTheme="minorEastAsia" w:eastAsiaTheme="minorEastAsia" w:cstheme="minorEastAsia"/>
                        <w:strike w:val="0"/>
                        <w:dstrike w:val="0"/>
                        <w:sz w:val="28"/>
                        <w:szCs w:val="28"/>
                      </w:rPr>
                      <w:fldChar w:fldCharType="end"/>
                    </w:r>
                    <w:r>
                      <w:rPr>
                        <w:rFonts w:hint="eastAsia" w:asciiTheme="minorEastAsia" w:hAnsiTheme="minorEastAsia" w:eastAsiaTheme="minorEastAsia" w:cstheme="minorEastAsia"/>
                        <w:strike w:val="0"/>
                        <w:dstrike w:val="0"/>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8764F"/>
    <w:multiLevelType w:val="singleLevel"/>
    <w:tmpl w:val="44A876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jRhNGEwMmUwNzVkOTQyZjE4YmU5NDQxOTFkNDgifQ=="/>
  </w:docVars>
  <w:rsids>
    <w:rsidRoot w:val="1B377888"/>
    <w:rsid w:val="02A632F1"/>
    <w:rsid w:val="02EC3DBB"/>
    <w:rsid w:val="04D85800"/>
    <w:rsid w:val="0CF66F6C"/>
    <w:rsid w:val="10617A4D"/>
    <w:rsid w:val="11D010D8"/>
    <w:rsid w:val="12B10F0A"/>
    <w:rsid w:val="13707009"/>
    <w:rsid w:val="14086185"/>
    <w:rsid w:val="151F0D46"/>
    <w:rsid w:val="15EF4509"/>
    <w:rsid w:val="16D77673"/>
    <w:rsid w:val="1B377888"/>
    <w:rsid w:val="2717456F"/>
    <w:rsid w:val="2D06153B"/>
    <w:rsid w:val="2F030DBB"/>
    <w:rsid w:val="306B3823"/>
    <w:rsid w:val="324142B0"/>
    <w:rsid w:val="35667C39"/>
    <w:rsid w:val="363F31C0"/>
    <w:rsid w:val="36D52B69"/>
    <w:rsid w:val="38142926"/>
    <w:rsid w:val="38B031E1"/>
    <w:rsid w:val="3BFA5FE0"/>
    <w:rsid w:val="3C1147F1"/>
    <w:rsid w:val="3EFD4F71"/>
    <w:rsid w:val="3F477654"/>
    <w:rsid w:val="41AF2209"/>
    <w:rsid w:val="41E14986"/>
    <w:rsid w:val="4E560E2C"/>
    <w:rsid w:val="56321535"/>
    <w:rsid w:val="5934151A"/>
    <w:rsid w:val="5D5407E1"/>
    <w:rsid w:val="5D687142"/>
    <w:rsid w:val="5D6927C8"/>
    <w:rsid w:val="63EA0DE6"/>
    <w:rsid w:val="64D14F1A"/>
    <w:rsid w:val="71EB4CDE"/>
    <w:rsid w:val="7B41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val="0"/>
      <w:keepLines w:val="0"/>
      <w:spacing w:line="600" w:lineRule="exact"/>
      <w:jc w:val="center"/>
      <w:outlineLvl w:val="0"/>
    </w:pPr>
    <w:rPr>
      <w:rFonts w:ascii="方正小标宋_GBK" w:hAnsi="方正小标宋_GBK" w:eastAsia="方正小标宋_GBK" w:cs="方正小标宋_GBK"/>
      <w:bCs/>
      <w:kern w:val="44"/>
      <w:sz w:val="44"/>
      <w:szCs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420" w:firstLineChars="200"/>
      <w:outlineLvl w:val="1"/>
    </w:pPr>
    <w:rPr>
      <w:rFonts w:ascii="黑体" w:hAnsi="黑体" w:eastAsia="黑体" w:cs="黑体"/>
      <w:sz w:val="32"/>
      <w:szCs w:val="32"/>
    </w:rPr>
  </w:style>
  <w:style w:type="paragraph" w:styleId="5">
    <w:name w:val="heading 3"/>
    <w:basedOn w:val="1"/>
    <w:next w:val="1"/>
    <w:semiHidden/>
    <w:unhideWhenUsed/>
    <w:qFormat/>
    <w:uiPriority w:val="0"/>
    <w:pPr>
      <w:keepNext/>
      <w:keepLines/>
      <w:spacing w:beforeLines="0" w:beforeAutospacing="0" w:afterLines="0" w:afterAutospacing="0" w:line="600" w:lineRule="exact"/>
      <w:ind w:firstLine="420" w:firstLineChars="200"/>
      <w:outlineLvl w:val="2"/>
    </w:pPr>
    <w:rPr>
      <w:rFonts w:ascii="楷体_GB2312" w:hAnsi="楷体_GB2312" w:eastAsia="楷体_GB2312" w:cs="楷体_GB2312"/>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32"/>
      <w:szCs w:val="32"/>
    </w:rPr>
  </w:style>
  <w:style w:type="paragraph" w:styleId="6">
    <w:name w:val="Body Text Indent 2"/>
    <w:basedOn w:val="1"/>
    <w:next w:val="7"/>
    <w:qFormat/>
    <w:uiPriority w:val="0"/>
    <w:pPr>
      <w:spacing w:line="600" w:lineRule="exact"/>
      <w:ind w:firstLine="601"/>
    </w:pPr>
    <w:rPr>
      <w:rFonts w:ascii="仿宋_GB2312" w:eastAsia="仿宋_GB2312"/>
      <w:sz w:val="30"/>
      <w:szCs w:val="30"/>
    </w:rPr>
  </w:style>
  <w:style w:type="paragraph" w:customStyle="1" w:styleId="7">
    <w:name w:val="p0"/>
    <w:next w:val="8"/>
    <w:qFormat/>
    <w:uiPriority w:val="0"/>
    <w:pPr>
      <w:spacing w:line="365" w:lineRule="atLeast"/>
      <w:ind w:left="1"/>
    </w:pPr>
    <w:rPr>
      <w:rFonts w:ascii="Times New Roman" w:hAnsi="Times New Roman" w:eastAsia="宋体" w:cs="Times New Roman"/>
      <w:sz w:val="24"/>
      <w:lang w:val="en-US" w:eastAsia="zh-CN" w:bidi="ar-SA"/>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3">
    <w:name w:val="标题 1 Char"/>
    <w:link w:val="3"/>
    <w:qFormat/>
    <w:uiPriority w:val="0"/>
    <w:rPr>
      <w:rFonts w:hint="eastAsia" w:ascii="方正小标宋简体" w:hAnsi="方正小标宋简体" w:eastAsia="方正小标宋简体" w:cs="方正小标宋简体"/>
      <w:kern w:val="44"/>
      <w:sz w:val="44"/>
      <w:szCs w:val="4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3218</Words>
  <Characters>3319</Characters>
  <Lines>0</Lines>
  <Paragraphs>0</Paragraphs>
  <TotalTime>124</TotalTime>
  <ScaleCrop>false</ScaleCrop>
  <LinksUpToDate>false</LinksUpToDate>
  <CharactersWithSpaces>3335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2022-10-09T09:19:00Z</dcterms:created>
  <dc:creator>QYJ</dc:creator>
  <cp:lastModifiedBy>Administrator</cp:lastModifiedBy>
  <cp:lastPrinted>2023-12-13T06:19:00Z</cp:lastPrinted>
  <dcterms:modified xsi:type="dcterms:W3CDTF">2024-10-08T08:20:56Z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8F1D752B868F4FBAAA1A7EC8C0F72561_13</vt:lpwstr>
  </property>
</Properties>
</file>