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hd w:val="clear" w:color="auto" w:fill="FFFFFF"/>
        <w:jc w:val="center"/>
        <w:rPr>
          <w:rFonts w:ascii="微软雅黑" w:hAnsi="微软雅黑" w:eastAsia="微软雅黑" w:cs="微软雅黑"/>
          <w:color w:val="444444"/>
          <w:sz w:val="44"/>
          <w:szCs w:val="44"/>
        </w:rPr>
      </w:pPr>
      <w:r>
        <w:rPr>
          <w:rFonts w:ascii="Times New Roman" w:hAnsi="Times New Roman" w:eastAsia="微软雅黑" w:cs="Times New Roman"/>
          <w:b/>
          <w:bCs/>
          <w:color w:val="444444"/>
          <w:sz w:val="44"/>
          <w:szCs w:val="44"/>
          <w:shd w:val="clear" w:color="auto" w:fill="FFFFFF"/>
        </w:rPr>
        <w:t>202</w:t>
      </w:r>
      <w:r>
        <w:rPr>
          <w:rFonts w:hint="eastAsia" w:ascii="Times New Roman" w:hAnsi="Times New Roman" w:eastAsia="微软雅黑" w:cs="Times New Roman"/>
          <w:b/>
          <w:bCs/>
          <w:color w:val="444444"/>
          <w:sz w:val="44"/>
          <w:szCs w:val="44"/>
          <w:shd w:val="clear" w:color="auto" w:fill="FFFFFF"/>
          <w:lang w:val="en-US" w:eastAsia="zh-CN"/>
        </w:rPr>
        <w:t>2</w:t>
      </w:r>
      <w:r>
        <w:rPr>
          <w:rFonts w:hint="eastAsia" w:ascii="宋体" w:hAnsi="宋体" w:eastAsia="宋体" w:cs="宋体"/>
          <w:b/>
          <w:bCs/>
          <w:color w:val="444444"/>
          <w:sz w:val="44"/>
          <w:szCs w:val="44"/>
          <w:shd w:val="clear" w:color="auto" w:fill="FFFFFF"/>
        </w:rPr>
        <w:t>年度邵阳市大祥区财政局部门整体支出绩效评价报告</w:t>
      </w:r>
    </w:p>
    <w:p>
      <w:pPr>
        <w:pStyle w:val="10"/>
        <w:widowControl/>
        <w:shd w:val="clear" w:color="auto" w:fill="FFFFFF"/>
        <w:jc w:val="left"/>
        <w:rPr>
          <w:rFonts w:hint="eastAsia" w:ascii="宋体" w:hAnsi="宋体" w:eastAsia="宋体" w:cs="宋体"/>
          <w:b/>
          <w:bCs/>
          <w:color w:val="444444"/>
          <w:kern w:val="2"/>
          <w:sz w:val="30"/>
          <w:szCs w:val="30"/>
          <w:shd w:val="clear" w:color="auto" w:fill="FFFFFF"/>
          <w:lang w:val="en-US" w:eastAsia="zh-CN" w:bidi="ar-SA"/>
        </w:rPr>
      </w:pPr>
      <w:r>
        <w:rPr>
          <w:rFonts w:hint="eastAsia" w:ascii="宋体" w:hAnsi="宋体" w:eastAsia="宋体" w:cs="宋体"/>
          <w:b/>
          <w:bCs/>
          <w:color w:val="444444"/>
          <w:kern w:val="2"/>
          <w:sz w:val="30"/>
          <w:szCs w:val="30"/>
          <w:shd w:val="clear" w:color="auto" w:fill="FFFFFF"/>
          <w:lang w:val="en-US" w:eastAsia="zh-CN" w:bidi="ar-SA"/>
        </w:rPr>
        <w:t>一、部门概况</w:t>
      </w:r>
    </w:p>
    <w:p>
      <w:pPr>
        <w:pStyle w:val="10"/>
        <w:widowControl/>
        <w:shd w:val="clear" w:color="auto" w:fill="FFFFFF"/>
        <w:jc w:val="left"/>
        <w:rPr>
          <w:rFonts w:hint="eastAsia" w:ascii="仿宋_GB2312" w:hAnsi="仿宋_GB2312" w:eastAsia="仿宋_GB2312" w:cs="仿宋_GB2312"/>
          <w:sz w:val="30"/>
          <w:szCs w:val="30"/>
        </w:rPr>
      </w:pPr>
      <w:r>
        <w:rPr>
          <w:rFonts w:hint="eastAsia" w:ascii="宋体" w:hAnsi="宋体" w:eastAsia="宋体" w:cs="宋体"/>
          <w:b/>
          <w:bCs/>
          <w:color w:val="444444"/>
          <w:kern w:val="2"/>
          <w:sz w:val="30"/>
          <w:szCs w:val="30"/>
          <w:shd w:val="clear" w:color="auto" w:fill="FFFFFF"/>
          <w:lang w:val="en-US" w:eastAsia="zh-CN" w:bidi="ar-SA"/>
        </w:rPr>
        <w:t>（一）基本情况：</w:t>
      </w:r>
      <w:r>
        <w:rPr>
          <w:rFonts w:hint="eastAsia" w:ascii="仿宋_GB2312" w:hAnsi="仿宋_GB2312" w:eastAsia="仿宋_GB2312" w:cs="仿宋_GB2312"/>
          <w:sz w:val="30"/>
          <w:szCs w:val="30"/>
        </w:rPr>
        <w:t> 　 　</w:t>
      </w:r>
    </w:p>
    <w:p>
      <w:pPr>
        <w:pStyle w:val="10"/>
        <w:widowControl/>
        <w:shd w:val="clear" w:color="auto" w:fill="FFFFFF"/>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1.贯彻执行国家和省、市财政税收方针、政策和财政预算决算、财务、会计方面的法规、条例及基本建设财务管理制度，指导全区财政工作。 　 　</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2.编制年度区本级预算草案并组织预算执行；编制区本级财政总决算；代编全区财政收支预算，汇总全区财政总决算；受区政府委托，向区人大报告区本级预算、预算执行情况和财政总决算。 　 　</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3.管理各项收入、预算外资金和财政专户；管理有关政府性基金；审核报批收费项目，参与制订、调整收费标准。 　 　</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管理财政行政政法和教科文支出；执行政府采购政策；管理财政预算内行政机构、事业单位和社会团体的非贸易外汇。根据国家、省统一规定的开支标准和支出政策，结合我区实际，制订具体实施办法，执行《行政单位财务规则》、《事业单位财务规则》。 　 　</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5.管理国有资产；组织实施国有资产的清产核资、产权界定和登记；负责国有资产管理的统计、分析、转让和处置以及产权纠纷调处与行政仲裁。 　 　</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6.管理财政经济发展支出；负责财政性资金投资项目工程预决算审查；执行《企业财务通则》；负责财政支农、农业财务管理。 　 　</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7.管理财政社会保障支出；执行社会保障资金的财务管理制度。 　 　</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8.执行政府国内债务管理的方针政策、规章制度和管理办法，执行国债发行计划；执行政府外债管理的规章制度；承担世界银行、亚洲开发银行、外国政府贷款和管理职能。 　 　</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9.监督执行会计规章制度，执行《企业会计准则》；监督执行政府预算、行政和事业单位及分行业的会计制度；指导和管理社会审计；负责会计委派和集中会计核算工作。 　</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10.监督财税方针政策、法律法规的执行情况；检查反映财政收支管理中的重大问题；提出加强财政管理的政策建议。 　 　</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11.制订财政科学研究和教育规划；组织财政人员培训，负责财政信息和财政宣传工作。 　 　</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12.承办区委、区人民政府交办的其他事项。</w:t>
      </w:r>
    </w:p>
    <w:p>
      <w:pPr>
        <w:jc w:val="left"/>
        <w:rPr>
          <w:rFonts w:ascii="宋体" w:hAnsi="宋体" w:eastAsia="宋体" w:cs="宋体"/>
          <w:b/>
          <w:bCs/>
          <w:color w:val="FF0000"/>
          <w:sz w:val="30"/>
          <w:szCs w:val="30"/>
          <w:shd w:val="clear" w:color="auto" w:fill="FFFFFF"/>
        </w:rPr>
      </w:pPr>
      <w:r>
        <w:rPr>
          <w:rFonts w:hint="eastAsia" w:ascii="宋体" w:hAnsi="宋体" w:eastAsia="宋体" w:cs="宋体"/>
          <w:b/>
          <w:bCs/>
          <w:color w:val="444444"/>
          <w:sz w:val="30"/>
          <w:szCs w:val="30"/>
          <w:shd w:val="clear" w:color="auto" w:fill="FFFFFF"/>
        </w:rPr>
        <w:t>（</w:t>
      </w:r>
      <w:r>
        <w:rPr>
          <w:rFonts w:hint="eastAsia" w:ascii="宋体" w:hAnsi="宋体" w:eastAsia="宋体" w:cs="宋体"/>
          <w:b/>
          <w:bCs/>
          <w:color w:val="444444"/>
          <w:kern w:val="2"/>
          <w:sz w:val="30"/>
          <w:szCs w:val="30"/>
          <w:shd w:val="clear" w:color="auto" w:fill="FFFFFF"/>
          <w:lang w:val="en-US" w:eastAsia="zh-CN" w:bidi="ar-SA"/>
        </w:rPr>
        <w:t>二）机构情况：</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邵阳市大祥区财政局内设机构包括：办公室、</w:t>
      </w:r>
      <w:r>
        <w:rPr>
          <w:rFonts w:hint="eastAsia" w:ascii="仿宋_GB2312" w:hAnsi="仿宋_GB2312" w:eastAsia="仿宋_GB2312" w:cs="仿宋_GB2312"/>
          <w:sz w:val="30"/>
          <w:szCs w:val="30"/>
          <w:lang w:val="en-US" w:eastAsia="zh-CN"/>
        </w:rPr>
        <w:t>预算股、国库股、经济建设</w:t>
      </w:r>
      <w:r>
        <w:rPr>
          <w:rFonts w:hint="eastAsia" w:ascii="仿宋_GB2312" w:hAnsi="仿宋_GB2312" w:eastAsia="仿宋_GB2312" w:cs="仿宋_GB2312"/>
          <w:sz w:val="30"/>
          <w:szCs w:val="30"/>
        </w:rPr>
        <w:t>股</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农</w:t>
      </w:r>
      <w:r>
        <w:rPr>
          <w:rFonts w:hint="eastAsia" w:ascii="仿宋_GB2312" w:hAnsi="仿宋_GB2312" w:eastAsia="仿宋_GB2312" w:cs="仿宋_GB2312"/>
          <w:sz w:val="30"/>
          <w:szCs w:val="30"/>
          <w:lang w:val="en-US" w:eastAsia="zh-CN"/>
        </w:rPr>
        <w:t>财</w:t>
      </w:r>
      <w:r>
        <w:rPr>
          <w:rFonts w:hint="eastAsia" w:ascii="仿宋_GB2312" w:hAnsi="仿宋_GB2312" w:eastAsia="仿宋_GB2312" w:cs="仿宋_GB2312"/>
          <w:sz w:val="30"/>
          <w:szCs w:val="30"/>
        </w:rPr>
        <w:t>股、</w:t>
      </w:r>
      <w:r>
        <w:rPr>
          <w:rFonts w:hint="eastAsia" w:ascii="仿宋_GB2312" w:hAnsi="仿宋_GB2312" w:eastAsia="仿宋_GB2312" w:cs="仿宋_GB2312"/>
          <w:sz w:val="30"/>
          <w:szCs w:val="30"/>
          <w:lang w:val="en-US" w:eastAsia="zh-CN"/>
        </w:rPr>
        <w:t>绩效评价股、综合股、社保股；所属事业单位分别为：邵阳市大祥区财政国库集中支付中心、邵阳市大祥区财政事务中心、邵阳市大祥区投资评审中心。</w:t>
      </w:r>
    </w:p>
    <w:p>
      <w:pPr>
        <w:pStyle w:val="10"/>
        <w:widowControl/>
        <w:shd w:val="clear" w:color="auto" w:fill="FFFFFF"/>
        <w:jc w:val="left"/>
        <w:rPr>
          <w:rFonts w:hint="eastAsia" w:ascii="宋体" w:hAnsi="宋体" w:eastAsia="宋体" w:cs="宋体"/>
          <w:b/>
          <w:bCs/>
          <w:color w:val="444444"/>
          <w:kern w:val="2"/>
          <w:sz w:val="30"/>
          <w:szCs w:val="30"/>
          <w:shd w:val="clear" w:color="auto" w:fill="FFFFFF"/>
          <w:lang w:val="en-US" w:eastAsia="zh-CN" w:bidi="ar-SA"/>
        </w:rPr>
      </w:pPr>
      <w:r>
        <w:rPr>
          <w:rFonts w:hint="eastAsia" w:ascii="宋体" w:hAnsi="宋体" w:eastAsia="宋体" w:cs="宋体"/>
          <w:b/>
          <w:bCs/>
          <w:color w:val="444444"/>
          <w:kern w:val="2"/>
          <w:sz w:val="30"/>
          <w:szCs w:val="30"/>
          <w:shd w:val="clear" w:color="auto" w:fill="FFFFFF"/>
          <w:lang w:val="en-US" w:eastAsia="zh-CN" w:bidi="ar-SA"/>
        </w:rPr>
        <w:t>（三）人员情况：</w:t>
      </w:r>
    </w:p>
    <w:p>
      <w:pPr>
        <w:pStyle w:val="10"/>
        <w:widowControl/>
        <w:shd w:val="clear" w:color="auto" w:fill="FFFFFF"/>
        <w:ind w:firstLine="600" w:firstLineChars="200"/>
        <w:jc w:val="left"/>
        <w:rPr>
          <w:rFonts w:ascii="微软雅黑" w:hAnsi="微软雅黑" w:eastAsia="微软雅黑" w:cs="微软雅黑"/>
          <w:color w:val="444444"/>
          <w:sz w:val="30"/>
          <w:szCs w:val="30"/>
          <w:shd w:val="clear" w:color="auto" w:fill="FFFFFF"/>
        </w:rPr>
      </w:pPr>
      <w:r>
        <w:rPr>
          <w:rFonts w:hint="eastAsia" w:ascii="仿宋_GB2312" w:hAnsi="仿宋_GB2312" w:eastAsia="仿宋_GB2312" w:cs="仿宋_GB2312"/>
          <w:kern w:val="2"/>
          <w:sz w:val="30"/>
          <w:szCs w:val="30"/>
          <w:lang w:val="en-US" w:eastAsia="zh-CN" w:bidi="ar-SA"/>
        </w:rPr>
        <w:t>正科5人、副科14人、技工2人、事业编制5人、临聘12人。 </w:t>
      </w:r>
    </w:p>
    <w:p>
      <w:pPr>
        <w:pStyle w:val="10"/>
        <w:widowControl/>
        <w:numPr>
          <w:numId w:val="0"/>
        </w:numPr>
        <w:shd w:val="clear" w:color="auto" w:fill="FFFFFF"/>
        <w:jc w:val="left"/>
        <w:rPr>
          <w:rFonts w:hint="eastAsia" w:ascii="宋体" w:hAnsi="宋体" w:eastAsia="宋体" w:cs="宋体"/>
          <w:color w:val="444444"/>
          <w:sz w:val="30"/>
          <w:szCs w:val="30"/>
          <w:shd w:val="clear" w:color="auto" w:fill="FFFFFF"/>
        </w:rPr>
      </w:pPr>
      <w:r>
        <w:rPr>
          <w:rFonts w:hint="eastAsia" w:ascii="宋体" w:hAnsi="宋体" w:eastAsia="宋体" w:cs="宋体"/>
          <w:b/>
          <w:bCs/>
          <w:color w:val="444444"/>
          <w:sz w:val="30"/>
          <w:szCs w:val="30"/>
          <w:shd w:val="clear" w:color="auto" w:fill="FFFFFF"/>
          <w:lang w:val="en-US" w:eastAsia="zh-CN"/>
        </w:rPr>
        <w:t>二、</w:t>
      </w:r>
      <w:r>
        <w:rPr>
          <w:rFonts w:hint="eastAsia" w:ascii="宋体" w:hAnsi="宋体" w:eastAsia="宋体" w:cs="宋体"/>
          <w:b/>
          <w:bCs/>
          <w:color w:val="444444"/>
          <w:sz w:val="30"/>
          <w:szCs w:val="30"/>
          <w:shd w:val="clear" w:color="auto" w:fill="FFFFFF"/>
        </w:rPr>
        <w:t>部门整体支出管理及使用情况</w:t>
      </w:r>
    </w:p>
    <w:p>
      <w:pPr>
        <w:pStyle w:val="10"/>
        <w:widowControl/>
        <w:shd w:val="clear" w:color="auto" w:fill="FFFFFF"/>
        <w:jc w:val="left"/>
        <w:rPr>
          <w:rFonts w:ascii="微软雅黑" w:hAnsi="微软雅黑" w:eastAsia="微软雅黑" w:cs="微软雅黑"/>
          <w:b/>
          <w:bCs/>
          <w:color w:val="444444"/>
          <w:sz w:val="30"/>
          <w:szCs w:val="30"/>
        </w:rPr>
      </w:pPr>
      <w:r>
        <w:rPr>
          <w:rFonts w:hint="eastAsia" w:ascii="宋体" w:hAnsi="宋体" w:eastAsia="宋体" w:cs="宋体"/>
          <w:b/>
          <w:bCs/>
          <w:color w:val="444444"/>
          <w:sz w:val="30"/>
          <w:szCs w:val="30"/>
          <w:shd w:val="clear" w:color="auto" w:fill="FFFFFF"/>
        </w:rPr>
        <w:t>（一）基本支出</w:t>
      </w:r>
    </w:p>
    <w:p>
      <w:pPr>
        <w:pStyle w:val="10"/>
        <w:widowControl/>
        <w:shd w:val="clear" w:color="auto" w:fill="FFFFFF"/>
        <w:ind w:firstLine="600" w:firstLineChars="200"/>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基本支出系保障我局机构正常运转、完成日常工作任务而发生的人员支出和公用支出，包括用于在职基本工资、津贴补贴等人员经费以及办公费、印刷费、办公设备购置等日常公用经费。2022年我局基本支出580.15万元，比上年同口径减少85.8万元，下降12.88%。其中：工资福利支出404.13万元，商品和服务支出135.74万元，对个人和家庭的补助11.93万元，资本性支出7.46万元。</w:t>
      </w:r>
    </w:p>
    <w:p>
      <w:pPr>
        <w:pStyle w:val="10"/>
        <w:widowControl/>
        <w:shd w:val="clear" w:color="auto" w:fill="FFFFFF"/>
        <w:ind w:firstLine="600" w:firstLineChars="200"/>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2022年“三公”经费实际开支总额0万元。其中：因公出国（境）费支出本年未发生。我局按照中央、省委、省政府要求，厉行节约，继续严控“三公”经费。</w:t>
      </w:r>
    </w:p>
    <w:p>
      <w:pPr>
        <w:pStyle w:val="10"/>
        <w:widowControl/>
        <w:shd w:val="clear" w:color="auto" w:fill="FFFFFF"/>
        <w:jc w:val="left"/>
        <w:rPr>
          <w:rFonts w:hint="eastAsia" w:ascii="宋体" w:hAnsi="宋体" w:eastAsia="宋体" w:cs="宋体"/>
          <w:b/>
          <w:bCs/>
          <w:color w:val="444444"/>
          <w:sz w:val="30"/>
          <w:szCs w:val="30"/>
          <w:shd w:val="clear" w:color="auto" w:fill="FFFFFF"/>
        </w:rPr>
      </w:pPr>
      <w:r>
        <w:rPr>
          <w:rFonts w:hint="eastAsia" w:ascii="宋体" w:hAnsi="宋体" w:eastAsia="宋体" w:cs="宋体"/>
          <w:b/>
          <w:bCs/>
          <w:color w:val="444444"/>
          <w:sz w:val="30"/>
          <w:szCs w:val="30"/>
          <w:shd w:val="clear" w:color="auto" w:fill="FFFFFF"/>
        </w:rPr>
        <w:t>（二）专项支出</w:t>
      </w:r>
    </w:p>
    <w:p>
      <w:pPr>
        <w:pStyle w:val="10"/>
        <w:widowControl/>
        <w:shd w:val="clear" w:color="auto" w:fill="FFFFFF"/>
        <w:ind w:firstLine="600" w:firstLineChars="200"/>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项目支出系我局为完成财政财务管理工作而发生的支出。包括上年结转和结余和预算安排项目经费。项目支出135.46万元。项目资金实行国库集中支付和资金报账制度，执行合同管理制度和财政专户管理。</w:t>
      </w:r>
    </w:p>
    <w:p>
      <w:pPr>
        <w:pStyle w:val="10"/>
        <w:widowControl/>
        <w:shd w:val="clear" w:color="auto" w:fill="FFFFFF"/>
        <w:ind w:firstLine="600" w:firstLineChars="200"/>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我局按要求及时编制报送专项资金目标管理申报表和专项资金支出绩效自评报告，并在公开统一平台和局门户网站公开，接受社会监督，规范专项资金的使用及管理。</w:t>
      </w:r>
    </w:p>
    <w:p>
      <w:pPr>
        <w:pStyle w:val="10"/>
        <w:widowControl/>
        <w:shd w:val="clear" w:color="auto" w:fill="FFFFFF"/>
        <w:jc w:val="left"/>
        <w:rPr>
          <w:rFonts w:hint="eastAsia" w:ascii="宋体" w:hAnsi="宋体" w:eastAsia="宋体" w:cs="宋体"/>
          <w:b/>
          <w:bCs/>
          <w:color w:val="444444"/>
          <w:sz w:val="30"/>
          <w:szCs w:val="30"/>
          <w:shd w:val="clear" w:color="auto" w:fill="FFFFFF"/>
        </w:rPr>
      </w:pPr>
      <w:r>
        <w:rPr>
          <w:rFonts w:hint="eastAsia" w:ascii="宋体" w:hAnsi="宋体" w:eastAsia="宋体" w:cs="宋体"/>
          <w:b/>
          <w:bCs/>
          <w:color w:val="444444"/>
          <w:sz w:val="30"/>
          <w:szCs w:val="30"/>
          <w:shd w:val="clear" w:color="auto" w:fill="FFFFFF"/>
          <w:lang w:val="en-US" w:eastAsia="zh-CN"/>
        </w:rPr>
        <w:t>三</w:t>
      </w:r>
      <w:r>
        <w:rPr>
          <w:rFonts w:hint="eastAsia" w:ascii="宋体" w:hAnsi="宋体" w:eastAsia="宋体" w:cs="宋体"/>
          <w:b/>
          <w:bCs/>
          <w:color w:val="444444"/>
          <w:sz w:val="30"/>
          <w:szCs w:val="30"/>
          <w:shd w:val="clear" w:color="auto" w:fill="FFFFFF"/>
        </w:rPr>
        <w:t>、综合评价情况及评价结论</w:t>
      </w:r>
    </w:p>
    <w:p>
      <w:pPr>
        <w:pStyle w:val="10"/>
        <w:widowControl/>
        <w:shd w:val="clear" w:color="auto" w:fill="FFFFFF"/>
        <w:ind w:firstLine="600" w:firstLineChars="200"/>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2022年我局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根据邵阳市财政局《部门整体支出绩效评价指标评分表》评分体系，我局整体支出绩效自评98分，自评结果为“良好”。</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hint="eastAsia" w:ascii="宋体" w:hAnsi="宋体" w:eastAsia="宋体" w:cs="宋体"/>
          <w:b/>
          <w:bCs/>
          <w:color w:val="444444"/>
          <w:kern w:val="0"/>
          <w:sz w:val="30"/>
          <w:szCs w:val="30"/>
          <w:shd w:val="clear" w:color="auto" w:fill="FFFFFF"/>
          <w:lang w:val="en-US" w:eastAsia="zh-CN" w:bidi="ar-SA"/>
        </w:rPr>
      </w:pPr>
      <w:r>
        <w:rPr>
          <w:rFonts w:hint="eastAsia" w:ascii="宋体" w:hAnsi="宋体" w:eastAsia="宋体" w:cs="宋体"/>
          <w:b/>
          <w:bCs/>
          <w:color w:val="444444"/>
          <w:kern w:val="0"/>
          <w:sz w:val="30"/>
          <w:szCs w:val="30"/>
          <w:shd w:val="clear" w:color="auto" w:fill="FFFFFF"/>
          <w:lang w:val="en-US" w:eastAsia="zh-CN" w:bidi="ar-SA"/>
        </w:rPr>
        <w:t>四、存在的主要问题</w:t>
      </w:r>
    </w:p>
    <w:p>
      <w:pPr>
        <w:rPr>
          <w:rFonts w:hint="eastAsia" w:ascii="仿宋_GB2312" w:hAnsi="仿宋_GB2312" w:eastAsia="仿宋_GB2312" w:cs="仿宋_GB2312"/>
          <w:kern w:val="2"/>
          <w:sz w:val="30"/>
          <w:szCs w:val="30"/>
          <w:lang w:val="en-US" w:eastAsia="zh-CN" w:bidi="ar-SA"/>
        </w:rPr>
      </w:pPr>
      <w:bookmarkStart w:id="2" w:name="_GoBack"/>
      <w:bookmarkStart w:id="0" w:name="_Hlk45466571"/>
      <w:bookmarkEnd w:id="0"/>
      <w:r>
        <w:rPr>
          <w:rFonts w:hint="eastAsia" w:ascii="仿宋_GB2312" w:hAnsi="仿宋_GB2312" w:eastAsia="仿宋_GB2312" w:cs="仿宋_GB2312"/>
          <w:kern w:val="2"/>
          <w:sz w:val="30"/>
          <w:szCs w:val="30"/>
          <w:lang w:val="en-US" w:eastAsia="zh-CN" w:bidi="ar-SA"/>
        </w:rPr>
        <w:t>(一)预算调整率偏高</w:t>
      </w:r>
    </w:p>
    <w:p>
      <w:pP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大祥区财政局年初预算数357.11万元，调整后预算数为637.23万元，预算调整280.12万元，预算调整率为78.44%。其原因是部分项目经费纳入政府预算但未纳入部门预算。</w:t>
      </w:r>
    </w:p>
    <w:p>
      <w:pP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(二)绩效自评质量有待提升</w:t>
      </w:r>
    </w:p>
    <w:p>
      <w:pPr>
        <w:rPr>
          <w:rFonts w:hint="eastAsia"/>
          <w:lang w:val="en-US" w:eastAsia="zh-CN"/>
        </w:rPr>
      </w:pPr>
      <w:r>
        <w:rPr>
          <w:rFonts w:hint="eastAsia" w:ascii="仿宋_GB2312" w:hAnsi="仿宋_GB2312" w:eastAsia="仿宋_GB2312" w:cs="仿宋_GB2312"/>
          <w:kern w:val="2"/>
          <w:sz w:val="30"/>
          <w:szCs w:val="30"/>
          <w:lang w:val="en-US" w:eastAsia="zh-CN" w:bidi="ar-SA"/>
        </w:rPr>
        <w:t>在2022年度绩效自评管理考核中，我局考核等级为“良”。</w:t>
      </w:r>
    </w:p>
    <w:bookmarkEnd w:id="2"/>
    <w:p>
      <w:pPr>
        <w:spacing w:line="600" w:lineRule="exact"/>
        <w:rPr>
          <w:rFonts w:hint="eastAsia" w:ascii="黑体" w:hAnsi="宋体" w:eastAsia="黑体" w:cs="宋体"/>
          <w:kern w:val="0"/>
          <w:sz w:val="32"/>
          <w:szCs w:val="32"/>
        </w:rPr>
      </w:pPr>
      <w:bookmarkStart w:id="1" w:name="RANGE!A1:H22"/>
    </w:p>
    <w:p>
      <w:pPr>
        <w:spacing w:line="600" w:lineRule="exact"/>
        <w:rPr>
          <w:rFonts w:ascii="宋体" w:hAnsi="宋体" w:cs="宋体"/>
          <w:kern w:val="0"/>
          <w:sz w:val="32"/>
          <w:szCs w:val="32"/>
        </w:rPr>
      </w:pPr>
      <w:r>
        <w:rPr>
          <w:rFonts w:hint="eastAsia" w:ascii="黑体" w:hAnsi="宋体" w:eastAsia="黑体" w:cs="宋体"/>
          <w:kern w:val="0"/>
          <w:sz w:val="32"/>
          <w:szCs w:val="32"/>
        </w:rPr>
        <w:t>附件</w:t>
      </w:r>
      <w:bookmarkEnd w:id="1"/>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98</w:t>
            </w:r>
          </w:p>
        </w:tc>
        <w:tc>
          <w:tcPr>
            <w:tcW w:w="617" w:type="dxa"/>
            <w:noWrap w:val="0"/>
            <w:vAlign w:val="center"/>
          </w:tcPr>
          <w:p>
            <w:pPr>
              <w:widowControl/>
              <w:jc w:val="center"/>
              <w:rPr>
                <w:rFonts w:hint="eastAsia" w:ascii="宋体" w:hAnsi="宋体" w:eastAsia="宋体" w:cs="宋体"/>
                <w:kern w:val="0"/>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both"/>
        <w:textAlignment w:val="auto"/>
        <w:rPr>
          <w:color w:val="auto"/>
        </w:rPr>
      </w:pPr>
    </w:p>
    <w:sectPr>
      <w:footerReference r:id="rId3" w:type="default"/>
      <w:pgSz w:w="11906" w:h="16838"/>
      <w:pgMar w:top="2268" w:right="1701" w:bottom="1701" w:left="170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1323198713"/>
      <w:docPartObj>
        <w:docPartGallery w:val="autotext"/>
      </w:docPartObj>
    </w:sdtPr>
    <w:sdtEndPr>
      <w:rPr>
        <w:sz w:val="24"/>
        <w:szCs w:val="24"/>
      </w:rPr>
    </w:sdtEndPr>
    <w:sdtContent>
      <w:p>
        <w:pPr>
          <w:pStyle w:val="8"/>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17</w:t>
        </w:r>
        <w:r>
          <w:rPr>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NkYTc2ZWU4ZGMxZGE1MTdmZDM5ZjQzOWZiZWFkZDIifQ=="/>
    <w:docVar w:name="KSO_WPS_MARK_KEY" w:val="3978ae87-db19-4ff6-9d32-158195ff9472"/>
  </w:docVars>
  <w:rsids>
    <w:rsidRoot w:val="00332162"/>
    <w:rsid w:val="00076024"/>
    <w:rsid w:val="002313FE"/>
    <w:rsid w:val="00332162"/>
    <w:rsid w:val="003B1D06"/>
    <w:rsid w:val="003B6D1C"/>
    <w:rsid w:val="003D09AF"/>
    <w:rsid w:val="00463370"/>
    <w:rsid w:val="005A1B22"/>
    <w:rsid w:val="005B10F8"/>
    <w:rsid w:val="00603559"/>
    <w:rsid w:val="00814409"/>
    <w:rsid w:val="008A4B49"/>
    <w:rsid w:val="008A507C"/>
    <w:rsid w:val="008B4B5E"/>
    <w:rsid w:val="009A7FE1"/>
    <w:rsid w:val="00BB1A72"/>
    <w:rsid w:val="00D15C51"/>
    <w:rsid w:val="00DA3BA6"/>
    <w:rsid w:val="00DF782E"/>
    <w:rsid w:val="00E84F82"/>
    <w:rsid w:val="01015428"/>
    <w:rsid w:val="01DC3359"/>
    <w:rsid w:val="04AD4A77"/>
    <w:rsid w:val="06677F89"/>
    <w:rsid w:val="076F5347"/>
    <w:rsid w:val="08220622"/>
    <w:rsid w:val="0A916812"/>
    <w:rsid w:val="0B3A6396"/>
    <w:rsid w:val="0CB37BA9"/>
    <w:rsid w:val="0E2275B4"/>
    <w:rsid w:val="0E357084"/>
    <w:rsid w:val="154C27A1"/>
    <w:rsid w:val="15B13FB4"/>
    <w:rsid w:val="160850FC"/>
    <w:rsid w:val="180405E4"/>
    <w:rsid w:val="1820443C"/>
    <w:rsid w:val="1BAA6F47"/>
    <w:rsid w:val="1E0C1A65"/>
    <w:rsid w:val="23C01EB8"/>
    <w:rsid w:val="23CD5478"/>
    <w:rsid w:val="25B660EB"/>
    <w:rsid w:val="26317C56"/>
    <w:rsid w:val="271833DE"/>
    <w:rsid w:val="289317E2"/>
    <w:rsid w:val="29510A49"/>
    <w:rsid w:val="2E490396"/>
    <w:rsid w:val="2E6171C5"/>
    <w:rsid w:val="2F9C6646"/>
    <w:rsid w:val="356572FF"/>
    <w:rsid w:val="39C673B3"/>
    <w:rsid w:val="3EDE2771"/>
    <w:rsid w:val="3FF721EC"/>
    <w:rsid w:val="413D4D95"/>
    <w:rsid w:val="417613E5"/>
    <w:rsid w:val="41F56C56"/>
    <w:rsid w:val="447A08AC"/>
    <w:rsid w:val="478101A3"/>
    <w:rsid w:val="47B9F433"/>
    <w:rsid w:val="49E30AE8"/>
    <w:rsid w:val="4DDA0457"/>
    <w:rsid w:val="51D76A16"/>
    <w:rsid w:val="52554278"/>
    <w:rsid w:val="54257C88"/>
    <w:rsid w:val="55745D73"/>
    <w:rsid w:val="558A7AA6"/>
    <w:rsid w:val="55EB659F"/>
    <w:rsid w:val="55FD068E"/>
    <w:rsid w:val="57775DF1"/>
    <w:rsid w:val="5FDA12D7"/>
    <w:rsid w:val="62F66C60"/>
    <w:rsid w:val="65654809"/>
    <w:rsid w:val="672D4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200"/>
    </w:pPr>
    <w:rPr>
      <w:rFonts w:ascii="Calibri" w:hAnsi="Calibri" w:eastAsia="宋体" w:cs="Times New Roman"/>
      <w:szCs w:val="22"/>
    </w:rPr>
  </w:style>
  <w:style w:type="paragraph" w:styleId="3">
    <w:name w:val="Body Text Indent"/>
    <w:basedOn w:val="1"/>
    <w:next w:val="4"/>
    <w:qFormat/>
    <w:uiPriority w:val="0"/>
    <w:pPr>
      <w:ind w:firstLine="640" w:firstLineChars="200"/>
    </w:pPr>
    <w:rPr>
      <w:rFonts w:ascii="仿宋_GB2312" w:eastAsia="仿宋_GB2312"/>
      <w:sz w:val="32"/>
    </w:rPr>
  </w:style>
  <w:style w:type="paragraph" w:styleId="4">
    <w:name w:val="Body Text Indent 2"/>
    <w:basedOn w:val="1"/>
    <w:unhideWhenUsed/>
    <w:qFormat/>
    <w:uiPriority w:val="99"/>
    <w:pPr>
      <w:spacing w:beforeLines="0" w:afterLines="0" w:line="560" w:lineRule="exact"/>
      <w:ind w:firstLine="538" w:firstLineChars="192"/>
    </w:pPr>
    <w:rPr>
      <w:rFonts w:hint="eastAsia" w:ascii="宋体" w:hAnsi="宋体"/>
      <w:sz w:val="28"/>
      <w:szCs w:val="24"/>
    </w:rPr>
  </w:style>
  <w:style w:type="paragraph" w:styleId="6">
    <w:name w:val="Normal Indent"/>
    <w:basedOn w:val="1"/>
    <w:qFormat/>
    <w:uiPriority w:val="0"/>
    <w:pPr>
      <w:ind w:firstLine="420" w:firstLineChars="200"/>
    </w:pPr>
  </w:style>
  <w:style w:type="paragraph" w:styleId="7">
    <w:name w:val="Balloon Text"/>
    <w:basedOn w:val="1"/>
    <w:link w:val="15"/>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link w:val="13"/>
    <w:qFormat/>
    <w:uiPriority w:val="0"/>
    <w:pP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character" w:customStyle="1" w:styleId="13">
    <w:name w:val="页眉 Char"/>
    <w:basedOn w:val="12"/>
    <w:link w:val="9"/>
    <w:qFormat/>
    <w:uiPriority w:val="0"/>
    <w:rPr>
      <w:rFonts w:asciiTheme="minorHAnsi" w:hAnsiTheme="minorHAnsi" w:eastAsiaTheme="minorEastAsia" w:cstheme="minorBidi"/>
      <w:kern w:val="2"/>
      <w:sz w:val="18"/>
      <w:szCs w:val="18"/>
    </w:rPr>
  </w:style>
  <w:style w:type="character" w:customStyle="1" w:styleId="14">
    <w:name w:val="页脚 Char"/>
    <w:basedOn w:val="12"/>
    <w:link w:val="8"/>
    <w:qFormat/>
    <w:uiPriority w:val="99"/>
    <w:rPr>
      <w:rFonts w:asciiTheme="minorHAnsi" w:hAnsiTheme="minorHAnsi" w:eastAsiaTheme="minorEastAsia" w:cstheme="minorBidi"/>
      <w:kern w:val="2"/>
      <w:sz w:val="18"/>
      <w:szCs w:val="18"/>
    </w:rPr>
  </w:style>
  <w:style w:type="character" w:customStyle="1" w:styleId="15">
    <w:name w:val="批注框文本 Char"/>
    <w:basedOn w:val="12"/>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12</Pages>
  <Words>5184</Words>
  <Characters>6102</Characters>
  <Lines>63</Lines>
  <Paragraphs>17</Paragraphs>
  <TotalTime>29</TotalTime>
  <ScaleCrop>false</ScaleCrop>
  <LinksUpToDate>false</LinksUpToDate>
  <CharactersWithSpaces>6140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2023-07-19T17:43:00Z</dcterms:created>
  <dc:creator>Administrator</dc:creator>
  <cp:lastModifiedBy>Administrator</cp:lastModifiedBy>
  <cp:lastPrinted>2023-08-28T03:43:00Z</cp:lastPrinted>
  <dcterms:modified xsi:type="dcterms:W3CDTF">2023-09-04T09:47:39Z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E5E074D3C806499999D4765E8B2DB1DF_13</vt:lpwstr>
  </property>
</Properties>
</file>