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1028A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蔡锷乡人民政府</w:t>
      </w:r>
      <w:r>
        <w:rPr>
          <w:rFonts w:hint="eastAsia"/>
          <w:sz w:val="44"/>
          <w:szCs w:val="44"/>
          <w:lang w:eastAsia="zh-CN"/>
        </w:rPr>
        <w:t>2023</w:t>
      </w:r>
      <w:r>
        <w:rPr>
          <w:rFonts w:hint="eastAsia"/>
          <w:sz w:val="44"/>
          <w:szCs w:val="44"/>
        </w:rPr>
        <w:t>年度部门整体支出绩效评估报告</w:t>
      </w:r>
    </w:p>
    <w:p w14:paraId="23DC1BBF"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2023年，攻坚克难求突破、砥砺奋进勇争先。</w:t>
      </w:r>
      <w:r>
        <w:rPr>
          <w:rFonts w:hint="eastAsia" w:ascii="仿宋_GB2312" w:hAnsi="仿宋" w:eastAsia="仿宋_GB2312" w:cs="仿宋"/>
          <w:sz w:val="32"/>
          <w:szCs w:val="32"/>
        </w:rPr>
        <w:t>在区委、区政府的正确领导下，蔡锷乡党委、政府认真学习贯彻落实党的二十大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精神</w:t>
      </w:r>
      <w:r>
        <w:rPr>
          <w:rFonts w:hint="eastAsia" w:ascii="仿宋_GB2312" w:hAnsi="仿宋" w:eastAsia="仿宋_GB2312" w:cs="仿宋"/>
          <w:sz w:val="32"/>
          <w:szCs w:val="32"/>
        </w:rPr>
        <w:t>以及习近平总书记系列讲话精神</w:t>
      </w:r>
      <w:r>
        <w:rPr>
          <w:rFonts w:hint="eastAsia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我们紧密团结在以习近平同志为核心的党中央周围，严格贯彻落实上级决策部署，全乡上下同心协力，各项工作任务圆满完成。全乡经济社会保持健康良好的发展态势。本部门按要求对2023年部门整体支出开展绩效自评，从评价情况来看我乡2023年度整体支出绩效目标自评良好。项目绩效目标完成情况如下：</w:t>
      </w:r>
    </w:p>
    <w:p w14:paraId="72DB161C"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 基本情况</w:t>
      </w:r>
    </w:p>
    <w:p w14:paraId="3C8CB404"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（一）部门整体支出概况</w:t>
      </w:r>
    </w:p>
    <w:p w14:paraId="048B7325"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2023年度支出合计4,237.81万元，其中：基本支出1,076.16万元，占25.39%；项目支出3,161.65万元，占74.61%；上缴上级支出0万元，占0%；经营支出0万元，占0%；对附属单位补助支出0万元，占0%。</w:t>
      </w:r>
    </w:p>
    <w:p w14:paraId="46D0B63E"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（二）部门整体支出绩效目标</w:t>
      </w:r>
    </w:p>
    <w:p w14:paraId="0C22DB91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认真贯彻执行党的基本路线、方针政策和上级组织的决议、指示、命令；对本乡的重大问题进行决策，研究制定全乡经济、社会和文化发展规划</w:t>
      </w:r>
      <w:r>
        <w:rPr>
          <w:rFonts w:hint="eastAsia"/>
          <w:sz w:val="32"/>
          <w:szCs w:val="32"/>
        </w:rPr>
        <w:t>。</w:t>
      </w:r>
    </w:p>
    <w:p w14:paraId="0A448B02"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二、绩效评价工作情况</w:t>
      </w:r>
    </w:p>
    <w:p w14:paraId="0EBAD3F7"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（一）绩效评价目的。</w:t>
      </w:r>
    </w:p>
    <w:p w14:paraId="238FAF76"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通过全面开展财政支出绩效评价，强化财政支出绩效理念，科学合理编制年度预算，切实发挥财政资金资源配置作用，逐步建立以科学理财为基础，以精细化管理为手段，以评价结果为导向，以实施过程为监管对象的预算管理体系。实施绩效评价，可以使我乡的各项指标数据更加清晰明了，对2023年的绩效工作有一个很好的总结，有利于我乡2024年各项工作的推进。</w:t>
      </w:r>
    </w:p>
    <w:p w14:paraId="31AC185D"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（二）绩效评价工作过程</w:t>
      </w:r>
    </w:p>
    <w:p w14:paraId="3CBDC2B6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成立绩效工作小组、确定绩效工作方案、划定绩效评价指标、各组分工合作相互进行。</w:t>
      </w:r>
    </w:p>
    <w:p w14:paraId="607E6516"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三、主要绩效及评价结论</w:t>
      </w:r>
    </w:p>
    <w:p w14:paraId="76B1E4D4"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1、经济性分析</w:t>
      </w:r>
    </w:p>
    <w:p w14:paraId="59D50929"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执行绩效评价体系，从以下几个方面提升了我乡的绩效工作，一是要加大支出管理。严格执行公务接待、公车管理及差旅费、会议费管理，坚持厉行节约，努力降低财政运行成本。二是严格预算约束做好增收节支，极力控制非生产性支出，降低行政运行成本，严肃财经纪律，坚决反对铺张浪费。三是加强预算执行，建立健全财政资金使用管理办法，促进资金使用效益；四是积极化解存量债务，严控政府性债务风险。</w:t>
      </w:r>
    </w:p>
    <w:p w14:paraId="4B4D9678"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2、效率性分析</w:t>
      </w:r>
    </w:p>
    <w:p w14:paraId="3D9C2A12">
      <w:pPr>
        <w:numPr>
          <w:ilvl w:val="0"/>
          <w:numId w:val="0"/>
        </w:numPr>
        <w:ind w:firstLine="960" w:firstLineChars="300"/>
        <w:rPr>
          <w:rFonts w:hint="eastAsia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优化办事流程，提高了办事效率。群众办事更便捷</w:t>
      </w:r>
      <w:r>
        <w:rPr>
          <w:rFonts w:hint="eastAsia"/>
          <w:sz w:val="32"/>
          <w:szCs w:val="32"/>
        </w:rPr>
        <w:t>。</w:t>
      </w:r>
    </w:p>
    <w:p w14:paraId="1B28AC3B"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3、效益性分析</w:t>
      </w:r>
    </w:p>
    <w:p w14:paraId="54D1872C"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（一）</w:t>
      </w:r>
      <w:r>
        <w:rPr>
          <w:rFonts w:ascii="仿宋_GB2312" w:hAnsi="仿宋" w:eastAsia="仿宋_GB2312" w:cs="仿宋"/>
          <w:sz w:val="32"/>
          <w:szCs w:val="32"/>
        </w:rPr>
        <w:t>一年来，我</w:t>
      </w:r>
      <w:r>
        <w:rPr>
          <w:rFonts w:hint="eastAsia" w:ascii="仿宋_GB2312" w:hAnsi="仿宋" w:eastAsia="仿宋_GB2312" w:cs="仿宋"/>
          <w:sz w:val="32"/>
          <w:szCs w:val="32"/>
        </w:rPr>
        <w:t>乡</w:t>
      </w:r>
      <w:r>
        <w:rPr>
          <w:rFonts w:ascii="仿宋_GB2312" w:hAnsi="仿宋" w:eastAsia="仿宋_GB2312" w:cs="仿宋"/>
          <w:sz w:val="32"/>
          <w:szCs w:val="32"/>
        </w:rPr>
        <w:t>坚持稳中求进工作总基调，着力振兴实体经济，</w:t>
      </w:r>
      <w:r>
        <w:rPr>
          <w:rFonts w:hint="eastAsia" w:ascii="仿宋_GB2312" w:hAnsi="仿宋" w:eastAsia="仿宋_GB2312" w:cs="仿宋"/>
          <w:sz w:val="32"/>
          <w:szCs w:val="32"/>
        </w:rPr>
        <w:t>全</w:t>
      </w:r>
      <w:r>
        <w:rPr>
          <w:rFonts w:ascii="仿宋_GB2312" w:hAnsi="仿宋" w:eastAsia="仿宋_GB2312" w:cs="仿宋"/>
          <w:sz w:val="32"/>
          <w:szCs w:val="32"/>
        </w:rPr>
        <w:t>力推动乡村振兴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扎实抓好服务农业工作，保农业增效、农民增收。一、</w:t>
      </w:r>
      <w:r>
        <w:rPr>
          <w:rFonts w:hint="eastAsia" w:ascii="仿宋_GB2312" w:hAnsi="仿宋" w:eastAsia="仿宋_GB2312" w:cs="仿宋"/>
          <w:sz w:val="32"/>
          <w:szCs w:val="32"/>
        </w:rPr>
        <w:t>农业发展稳中有进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全乡粮食生产形势向好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二是各项惠农政策全面落实。三是全面推进河长制工作。四是重视产业发展，惠民项目推进顺利。五是精心组织，狠抓动物防疫工作。六是继续推进厕所革命，提升人居环境质量。七是其他事业成效显著。</w:t>
      </w:r>
    </w:p>
    <w:p w14:paraId="7ACFA6B8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（二）改善社会民生，服务基层更有力。一是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落实</w:t>
      </w:r>
      <w:r>
        <w:rPr>
          <w:rFonts w:hint="eastAsia" w:ascii="仿宋_GB2312" w:hAnsi="仿宋" w:eastAsia="仿宋_GB2312" w:cs="仿宋"/>
          <w:sz w:val="32"/>
          <w:szCs w:val="32"/>
        </w:rPr>
        <w:t>应保尽保政策，二是稳定就业工作成效显著。三是做好城乡居民养老保险参保缴费工作。四是政务（便民）服务中心继续推进“一门式”、一件事一次办服务工作。五是健康服务更加贴心。六是不断提高教育教学事业健康发展。七是招商引资工作平稳发展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八是</w:t>
      </w:r>
      <w:r>
        <w:rPr>
          <w:rFonts w:hint="eastAsia" w:ascii="仿宋_GB2312" w:hAnsi="仿宋" w:eastAsia="仿宋_GB2312" w:cs="仿宋"/>
          <w:sz w:val="32"/>
          <w:szCs w:val="32"/>
        </w:rPr>
        <w:t>民生实事持续改善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 w:cs="仿宋"/>
          <w:sz w:val="32"/>
          <w:szCs w:val="32"/>
        </w:rPr>
        <w:t>是全民国防教育、武装工作扎实推进。</w:t>
      </w:r>
    </w:p>
    <w:p w14:paraId="3A270937"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（三）自然资源和生态环境工作。一是摸底危房改造情况。二是地质灾害防治工作。三是设施农用地审批工作。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 w:cs="仿宋"/>
          <w:sz w:val="32"/>
          <w:szCs w:val="32"/>
        </w:rPr>
        <w:t>是林长制工作。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 w:cs="仿宋"/>
          <w:sz w:val="32"/>
          <w:szCs w:val="32"/>
        </w:rPr>
        <w:t>是田长制工作。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六是</w:t>
      </w:r>
      <w:r>
        <w:rPr>
          <w:rFonts w:hint="eastAsia" w:ascii="仿宋_GB2312" w:hAnsi="仿宋" w:eastAsia="仿宋_GB2312" w:cs="仿宋"/>
          <w:sz w:val="32"/>
          <w:szCs w:val="32"/>
        </w:rPr>
        <w:t>违法图斑整改核查工作。七是蓝天保卫战工作。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八</w:t>
      </w:r>
      <w:r>
        <w:rPr>
          <w:rFonts w:hint="eastAsia" w:ascii="仿宋_GB2312" w:hAnsi="仿宋" w:eastAsia="仿宋_GB2312" w:cs="仿宋"/>
          <w:sz w:val="32"/>
          <w:szCs w:val="32"/>
        </w:rPr>
        <w:t>是其他日常工作。</w:t>
      </w:r>
    </w:p>
    <w:p w14:paraId="2C7D4924"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（四）以“安全第一、预防为主”的方针抓好安全生产工作。我乡严格履职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尽</w:t>
      </w:r>
      <w:r>
        <w:rPr>
          <w:rFonts w:hint="eastAsia" w:ascii="仿宋_GB2312" w:hAnsi="仿宋" w:eastAsia="仿宋_GB2312" w:cs="仿宋"/>
          <w:sz w:val="32"/>
          <w:szCs w:val="32"/>
        </w:rPr>
        <w:t>责、强化措施，认真抓好各项安全整治工作。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1.加强应急能力提升培训，</w:t>
      </w:r>
      <w:r>
        <w:rPr>
          <w:rFonts w:hint="eastAsia" w:ascii="仿宋_GB2312" w:hAnsi="仿宋" w:eastAsia="仿宋_GB2312" w:cs="仿宋"/>
          <w:sz w:val="32"/>
          <w:szCs w:val="32"/>
        </w:rPr>
        <w:t>提高企业安全员及工作人员队伍的素质和安全意识。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2.开展安全生产大排查，</w:t>
      </w:r>
      <w:r>
        <w:rPr>
          <w:rFonts w:hint="eastAsia" w:ascii="仿宋_GB2312" w:hAnsi="仿宋" w:eastAsia="仿宋_GB2312" w:cs="仿宋"/>
          <w:sz w:val="32"/>
          <w:szCs w:val="32"/>
        </w:rPr>
        <w:t>有效地遏制了重大安全事故的发生。</w:t>
      </w:r>
    </w:p>
    <w:p w14:paraId="2A5268CE">
      <w:pPr>
        <w:spacing w:line="560" w:lineRule="exact"/>
        <w:ind w:firstLine="643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  <w:lang w:eastAsia="zh-CN"/>
        </w:rPr>
        <w:t>（</w:t>
      </w:r>
      <w:r>
        <w:rPr>
          <w:rFonts w:hint="eastAsia" w:ascii="楷体_GB2312" w:hAnsi="仿宋" w:eastAsia="楷体_GB2312" w:cs="仿宋"/>
          <w:b/>
          <w:sz w:val="32"/>
          <w:szCs w:val="32"/>
          <w:lang w:val="en-US" w:eastAsia="zh-CN"/>
        </w:rPr>
        <w:t>五</w:t>
      </w:r>
      <w:r>
        <w:rPr>
          <w:rFonts w:hint="eastAsia" w:ascii="楷体_GB2312" w:hAnsi="仿宋" w:eastAsia="楷体_GB2312" w:cs="仿宋"/>
          <w:b/>
          <w:sz w:val="32"/>
          <w:szCs w:val="32"/>
          <w:lang w:eastAsia="zh-CN"/>
        </w:rPr>
        <w:t>）</w:t>
      </w:r>
      <w:r>
        <w:rPr>
          <w:rFonts w:hint="eastAsia" w:ascii="楷体_GB2312" w:hAnsi="仿宋" w:eastAsia="楷体_GB2312" w:cs="仿宋"/>
          <w:b/>
          <w:sz w:val="32"/>
          <w:szCs w:val="32"/>
        </w:rPr>
        <w:t>重大风险防线稳固筑牢</w:t>
      </w:r>
    </w:p>
    <w:p w14:paraId="4E962034"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一是抓好社会风险管控。二是社会治理更加精细。三是健全机构，强化调解能力</w:t>
      </w:r>
      <w:r>
        <w:rPr>
          <w:rFonts w:hint="eastAsia" w:ascii="仿宋_GB2312" w:hAnsi="仿宋" w:eastAsia="仿宋_GB2312" w:cs="仿宋"/>
          <w:b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以“抓基层、打基础、化矛盾”为目标，以 “一二三四五”群众工作机制为载体，完善乡调解委、村调解委、组调解小组三级人民调解网络，形成调解合力，立足于“抓小、抓早、抓苗头”，把矛盾调处工作的重点放在抓基层落实上，筑牢第一道防线，力求做到“家庭琐事不出户、邻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矛盾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不出组、小事不出村、大事不出乡，矛盾不上交”的和谐局面。</w:t>
      </w:r>
    </w:p>
    <w:p w14:paraId="1C32385C">
      <w:pPr>
        <w:spacing w:line="560" w:lineRule="exact"/>
        <w:ind w:firstLine="643" w:firstLineChars="200"/>
        <w:jc w:val="left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（</w:t>
      </w:r>
      <w:r>
        <w:rPr>
          <w:rFonts w:hint="eastAsia" w:ascii="楷体_GB2312" w:hAnsi="仿宋" w:eastAsia="楷体_GB2312" w:cs="仿宋"/>
          <w:b/>
          <w:sz w:val="32"/>
          <w:szCs w:val="32"/>
          <w:lang w:val="en-US" w:eastAsia="zh-CN"/>
        </w:rPr>
        <w:t>六</w:t>
      </w:r>
      <w:r>
        <w:rPr>
          <w:rFonts w:hint="eastAsia" w:ascii="楷体_GB2312" w:hAnsi="仿宋" w:eastAsia="楷体_GB2312" w:cs="仿宋"/>
          <w:b/>
          <w:sz w:val="32"/>
          <w:szCs w:val="32"/>
        </w:rPr>
        <w:t>）禁毒、反电诈工作抓紧抓细</w:t>
      </w:r>
    </w:p>
    <w:p w14:paraId="197F794E"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一是宣传广泛入人心。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二是</w:t>
      </w:r>
      <w:r>
        <w:rPr>
          <w:rFonts w:hint="eastAsia" w:ascii="仿宋_GB2312" w:hAnsi="仿宋" w:eastAsia="仿宋_GB2312" w:cs="仿宋"/>
          <w:sz w:val="32"/>
          <w:szCs w:val="32"/>
        </w:rPr>
        <w:t>以教育为抓手，夯实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管控</w:t>
      </w:r>
      <w:r>
        <w:rPr>
          <w:rFonts w:hint="eastAsia" w:ascii="仿宋_GB2312" w:hAnsi="仿宋" w:eastAsia="仿宋_GB2312" w:cs="仿宋"/>
          <w:sz w:val="32"/>
          <w:szCs w:val="32"/>
        </w:rPr>
        <w:t>底线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仿宋"/>
          <w:sz w:val="32"/>
          <w:szCs w:val="32"/>
        </w:rPr>
        <w:t>是强化摸排劝返打击工作。</w:t>
      </w:r>
    </w:p>
    <w:p w14:paraId="7A75F2A9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年，我们取得了较好的成绩，但是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我们工作仍然存在一些问题和不足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主要表现是:</w:t>
      </w:r>
    </w:p>
    <w:p w14:paraId="5CAC4F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一)思想观念不够解放，部分干部群众思想观念陈旧，滞后于经济发展的要求。“小富即安、小进则满”的思想意识根深蒂固，创先争优、争创先进的劲头不足，缺乏开拓进取的精神和干大事、创大业的决心，缺乏加快发展的强烈欲望。</w:t>
      </w:r>
    </w:p>
    <w:p w14:paraId="3E7DF6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二)一、二、三产业均存在不同程度的缺陷。一是农业现代化发展水平低，农业结构调整缓慢。传统农作物种植面积大，特色农作物、高附加值农作物无规模，农产品加工增值途径少，农业产业化覆盖面少，农产品加工企业少。二是工业化水平低，工业总量小，产业链不长，附加值不高，对财政贡献大的企业少，带动农民增收的企业少。三是服务业整体水平偏低。旅游产业对村级集体经济发展贡献不大，带动消费的能力还不足。</w:t>
      </w:r>
    </w:p>
    <w:p w14:paraId="55E3A5CA">
      <w:pPr>
        <w:rPr>
          <w:b/>
          <w:bCs/>
          <w:sz w:val="32"/>
          <w:szCs w:val="32"/>
        </w:rPr>
      </w:pPr>
    </w:p>
    <w:p w14:paraId="79EA354C"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NGNkMTBmZmU1NzhhYjVjN2Q4ZDU1MGEwNGFlYzYifQ=="/>
  </w:docVars>
  <w:rsids>
    <w:rsidRoot w:val="352723EE"/>
    <w:rsid w:val="02AB311C"/>
    <w:rsid w:val="06997F82"/>
    <w:rsid w:val="10066A65"/>
    <w:rsid w:val="1D927B8A"/>
    <w:rsid w:val="25445C0D"/>
    <w:rsid w:val="26812657"/>
    <w:rsid w:val="2701628F"/>
    <w:rsid w:val="33BE757C"/>
    <w:rsid w:val="352723EE"/>
    <w:rsid w:val="361406D3"/>
    <w:rsid w:val="37347FC0"/>
    <w:rsid w:val="3AF85078"/>
    <w:rsid w:val="3DF228DA"/>
    <w:rsid w:val="4C68238C"/>
    <w:rsid w:val="50A05B3E"/>
    <w:rsid w:val="66350E16"/>
    <w:rsid w:val="66E42D65"/>
    <w:rsid w:val="6C8C2104"/>
    <w:rsid w:val="76733229"/>
    <w:rsid w:val="7C64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3972</Words>
  <Characters>4091</Characters>
  <Lines>0</Lines>
  <Paragraphs>0</Paragraphs>
  <TotalTime>21</TotalTime>
  <ScaleCrop>false</ScaleCrop>
  <LinksUpToDate>false</LinksUpToDate>
  <CharactersWithSpaces>4093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2023-08-25T02:07:00Z</dcterms:created>
  <dc:creator>Administrator</dc:creator>
  <cp:lastModifiedBy>Administrator</cp:lastModifiedBy>
  <dcterms:modified xsi:type="dcterms:W3CDTF">2024-10-17T07:31:08Z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0B1DF4C92E5A4003B38EBB07946335FA_13</vt:lpwstr>
  </property>
</Properties>
</file>