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51265">
      <w:pPr>
        <w:widowControl w:val="0"/>
        <w:spacing w:line="600" w:lineRule="exact"/>
        <w:jc w:val="center"/>
        <w:rPr>
          <w:rFonts w:hint="eastAsia" w:ascii="黑体" w:hAnsi="黑体" w:eastAsia="黑体" w:cs="黑体"/>
          <w:kern w:val="0"/>
          <w:sz w:val="44"/>
          <w:szCs w:val="44"/>
          <w:lang w:bidi="ar"/>
        </w:rPr>
      </w:pPr>
      <w:bookmarkStart w:id="0" w:name="_GoBack"/>
      <w:r>
        <w:rPr>
          <w:rFonts w:hint="eastAsia" w:ascii="黑体" w:hAnsi="黑体" w:eastAsia="黑体" w:cs="黑体"/>
          <w:color w:val="000000"/>
          <w:kern w:val="0"/>
          <w:sz w:val="44"/>
          <w:szCs w:val="44"/>
          <w:lang w:val="zh-CN"/>
        </w:rPr>
        <w:t>2023年度</w:t>
      </w:r>
      <w:r>
        <w:rPr>
          <w:rFonts w:hint="eastAsia" w:ascii="黑体" w:hAnsi="黑体" w:eastAsia="黑体" w:cs="黑体"/>
          <w:kern w:val="0"/>
          <w:sz w:val="44"/>
          <w:szCs w:val="44"/>
          <w:lang w:bidi="ar"/>
        </w:rPr>
        <w:t>邵阳市大祥区</w:t>
      </w:r>
      <w:r>
        <w:rPr>
          <w:rFonts w:hint="eastAsia" w:ascii="黑体" w:hAnsi="黑体" w:eastAsia="黑体" w:cs="黑体"/>
          <w:kern w:val="0"/>
          <w:sz w:val="44"/>
          <w:szCs w:val="44"/>
          <w:lang w:eastAsia="zh-CN" w:bidi="ar"/>
        </w:rPr>
        <w:t>百春园</w:t>
      </w:r>
      <w:r>
        <w:rPr>
          <w:rFonts w:hint="eastAsia" w:ascii="黑体" w:hAnsi="黑体" w:eastAsia="黑体" w:cs="黑体"/>
          <w:kern w:val="0"/>
          <w:sz w:val="44"/>
          <w:szCs w:val="44"/>
          <w:lang w:bidi="ar"/>
        </w:rPr>
        <w:t>街道办事处</w:t>
      </w:r>
    </w:p>
    <w:p w14:paraId="2621980C">
      <w:pPr>
        <w:widowControl w:val="0"/>
        <w:spacing w:line="600" w:lineRule="exact"/>
        <w:jc w:val="center"/>
        <w:rPr>
          <w:rFonts w:hint="eastAsia" w:ascii="黑体" w:hAnsi="黑体" w:eastAsia="黑体" w:cs="黑体"/>
          <w:b/>
          <w:kern w:val="0"/>
          <w:sz w:val="44"/>
          <w:szCs w:val="44"/>
          <w:highlight w:val="white"/>
        </w:rPr>
      </w:pPr>
      <w:r>
        <w:rPr>
          <w:rFonts w:hint="eastAsia" w:ascii="黑体" w:hAnsi="黑体" w:eastAsia="黑体" w:cs="黑体"/>
          <w:color w:val="000000"/>
          <w:kern w:val="0"/>
          <w:sz w:val="44"/>
          <w:szCs w:val="44"/>
          <w:lang w:val="zh-CN"/>
        </w:rPr>
        <w:t>部门整体支出绩效评价报告</w:t>
      </w:r>
    </w:p>
    <w:bookmarkEnd w:id="0"/>
    <w:p w14:paraId="09892A7C">
      <w:pPr>
        <w:widowControl w:val="0"/>
        <w:spacing w:line="600" w:lineRule="exact"/>
        <w:ind w:firstLine="643" w:firstLineChars="200"/>
        <w:rPr>
          <w:rFonts w:hint="eastAsia" w:ascii="宋体" w:hAnsi="宋体"/>
          <w:b/>
          <w:kern w:val="0"/>
          <w:sz w:val="32"/>
          <w:szCs w:val="32"/>
          <w:highlight w:val="white"/>
        </w:rPr>
      </w:pPr>
    </w:p>
    <w:p w14:paraId="4385AD73">
      <w:pPr>
        <w:widowControl w:val="0"/>
        <w:spacing w:line="600" w:lineRule="exact"/>
        <w:ind w:firstLine="640" w:firstLineChars="200"/>
        <w:rPr>
          <w:rFonts w:hint="eastAsia" w:ascii="黑体" w:hAnsi="黑体" w:eastAsia="黑体"/>
          <w:kern w:val="0"/>
          <w:sz w:val="32"/>
          <w:szCs w:val="32"/>
          <w:highlight w:val="white"/>
        </w:rPr>
      </w:pPr>
      <w:r>
        <w:rPr>
          <w:rFonts w:hint="eastAsia" w:ascii="黑体" w:hAnsi="黑体" w:eastAsia="黑体"/>
          <w:kern w:val="0"/>
          <w:sz w:val="32"/>
          <w:szCs w:val="32"/>
          <w:highlight w:val="white"/>
        </w:rPr>
        <w:t>一、绩效管理工作开展情况</w:t>
      </w:r>
    </w:p>
    <w:p w14:paraId="0E52B293">
      <w:pPr>
        <w:pStyle w:val="11"/>
        <w:spacing w:line="600"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为进一步规范财政资金管理，树立预算绩效理念，强化支出责任，提高财政资金使用效益</w:t>
      </w:r>
      <w:r>
        <w:rPr>
          <w:rFonts w:hint="eastAsia" w:ascii="Times New Roman" w:hAnsi="Times New Roman" w:eastAsia="仿宋_GB2312" w:cs="Times New Roman"/>
          <w:color w:val="auto"/>
          <w:sz w:val="32"/>
          <w:szCs w:val="32"/>
        </w:rPr>
        <w:t>。根据《中华人民共和国预算法》关于“各级政府、各部门、各单位应当对预算支出情况开展绩效评价”的规定，</w:t>
      </w:r>
      <w:r>
        <w:rPr>
          <w:rFonts w:ascii="Times New Roman" w:hAnsi="Times New Roman" w:eastAsia="仿宋_GB2312" w:cs="Times New Roman"/>
          <w:color w:val="auto"/>
          <w:sz w:val="32"/>
          <w:szCs w:val="32"/>
        </w:rPr>
        <w:t>结合</w:t>
      </w:r>
      <w:r>
        <w:rPr>
          <w:rFonts w:hint="eastAsia" w:ascii="Times New Roman" w:hAnsi="Times New Roman" w:eastAsia="仿宋_GB2312" w:cs="Times New Roman"/>
          <w:color w:val="auto"/>
          <w:sz w:val="32"/>
          <w:szCs w:val="32"/>
        </w:rPr>
        <w:t>街道</w:t>
      </w:r>
      <w:r>
        <w:rPr>
          <w:rFonts w:ascii="Times New Roman" w:hAnsi="Times New Roman" w:eastAsia="仿宋_GB2312" w:cs="Times New Roman"/>
          <w:color w:val="auto"/>
          <w:sz w:val="32"/>
          <w:szCs w:val="32"/>
        </w:rPr>
        <w:t>具体情况，认真组织开展了</w:t>
      </w:r>
      <w:r>
        <w:rPr>
          <w:rFonts w:hint="eastAsia" w:ascii="Times New Roman" w:hAnsi="Times New Roman" w:eastAsia="仿宋_GB2312" w:cs="Times New Roman"/>
          <w:color w:val="auto"/>
          <w:sz w:val="32"/>
          <w:szCs w:val="32"/>
          <w:lang w:eastAsia="zh-CN"/>
        </w:rPr>
        <w:t>2023</w:t>
      </w:r>
      <w:r>
        <w:rPr>
          <w:rFonts w:ascii="Times New Roman" w:hAnsi="Times New Roman" w:eastAsia="仿宋_GB2312" w:cs="Times New Roman"/>
          <w:color w:val="auto"/>
          <w:sz w:val="32"/>
          <w:szCs w:val="32"/>
        </w:rPr>
        <w:t>年度</w:t>
      </w:r>
      <w:r>
        <w:rPr>
          <w:rFonts w:hint="eastAsia" w:ascii="Times New Roman" w:hAnsi="Times New Roman" w:eastAsia="仿宋_GB2312" w:cs="Times New Roman"/>
          <w:color w:val="auto"/>
          <w:sz w:val="32"/>
          <w:szCs w:val="32"/>
          <w:lang w:eastAsia="zh-CN"/>
        </w:rPr>
        <w:t>百春园</w:t>
      </w:r>
      <w:r>
        <w:rPr>
          <w:rFonts w:hint="eastAsia" w:ascii="Times New Roman" w:hAnsi="Times New Roman" w:eastAsia="仿宋_GB2312" w:cs="Times New Roman"/>
          <w:color w:val="auto"/>
          <w:sz w:val="32"/>
          <w:szCs w:val="32"/>
        </w:rPr>
        <w:t>街道办事处</w:t>
      </w:r>
      <w:r>
        <w:rPr>
          <w:rFonts w:ascii="Times New Roman" w:hAnsi="Times New Roman" w:eastAsia="仿宋_GB2312" w:cs="Times New Roman"/>
          <w:color w:val="auto"/>
          <w:sz w:val="32"/>
          <w:szCs w:val="32"/>
        </w:rPr>
        <w:t>部门预算绩效自评工作，现将我</w:t>
      </w:r>
      <w:r>
        <w:rPr>
          <w:rFonts w:hint="eastAsia" w:ascii="Times New Roman" w:hAnsi="Times New Roman" w:eastAsia="仿宋_GB2312" w:cs="Times New Roman"/>
          <w:color w:val="auto"/>
          <w:sz w:val="32"/>
          <w:szCs w:val="32"/>
        </w:rPr>
        <w:t>街道</w:t>
      </w:r>
      <w:r>
        <w:rPr>
          <w:rFonts w:hint="eastAsia" w:ascii="Times New Roman" w:hAnsi="Times New Roman" w:eastAsia="仿宋_GB2312" w:cs="Times New Roman"/>
          <w:color w:val="auto"/>
          <w:sz w:val="32"/>
          <w:szCs w:val="32"/>
          <w:lang w:eastAsia="zh-CN"/>
        </w:rPr>
        <w:t>2023</w:t>
      </w:r>
      <w:r>
        <w:rPr>
          <w:rFonts w:ascii="Times New Roman" w:hAnsi="Times New Roman" w:eastAsia="仿宋_GB2312" w:cs="Times New Roman"/>
          <w:color w:val="auto"/>
          <w:sz w:val="32"/>
          <w:szCs w:val="32"/>
        </w:rPr>
        <w:t>年度部门整体支出绩效评价情况报告如下：</w:t>
      </w:r>
    </w:p>
    <w:p w14:paraId="094EBEDA">
      <w:pPr>
        <w:widowControl w:val="0"/>
        <w:spacing w:line="600" w:lineRule="exact"/>
        <w:ind w:firstLine="640" w:firstLineChars="200"/>
        <w:rPr>
          <w:rFonts w:hint="eastAsia" w:ascii="黑体" w:hAnsi="黑体" w:eastAsia="黑体"/>
          <w:kern w:val="0"/>
          <w:sz w:val="32"/>
          <w:szCs w:val="32"/>
          <w:highlight w:val="white"/>
        </w:rPr>
      </w:pPr>
      <w:r>
        <w:rPr>
          <w:rFonts w:hint="eastAsia" w:ascii="黑体" w:hAnsi="黑体" w:eastAsia="黑体"/>
          <w:kern w:val="0"/>
          <w:sz w:val="32"/>
          <w:szCs w:val="32"/>
          <w:highlight w:val="white"/>
        </w:rPr>
        <w:t>二、部门整体支出绩效情况</w:t>
      </w:r>
    </w:p>
    <w:p w14:paraId="664A17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年，在区委、区政府的正确领导下，百春园街道坚持以习近平新时代中国特色社会主义思想为指导,全面贯彻党的</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大和习近平总书记</w:t>
      </w:r>
      <w:r>
        <w:rPr>
          <w:rFonts w:hint="eastAsia" w:ascii="仿宋_GB2312" w:hAnsi="仿宋_GB2312" w:eastAsia="仿宋_GB2312" w:cs="仿宋_GB2312"/>
          <w:sz w:val="32"/>
          <w:szCs w:val="32"/>
          <w:lang w:val="en-US" w:eastAsia="zh-CN"/>
        </w:rPr>
        <w:t>系列</w:t>
      </w:r>
      <w:r>
        <w:rPr>
          <w:rFonts w:hint="eastAsia" w:ascii="仿宋_GB2312" w:hAnsi="仿宋_GB2312" w:eastAsia="仿宋_GB2312" w:cs="仿宋_GB2312"/>
          <w:sz w:val="32"/>
          <w:szCs w:val="32"/>
        </w:rPr>
        <w:t>重要讲话精神,坚持“稳中求进”总基调，全面落实“三高四新”战略定位和使命任务，以打造“宜居宜业家园、文化文明街道、美丽美好城区”为目标，统筹推进新冠肺炎疫情防控和经济社会各项事业全面发展。现将有关情况汇报如下：</w:t>
      </w:r>
    </w:p>
    <w:p w14:paraId="104644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一、工作开展情况</w:t>
      </w:r>
    </w:p>
    <w:p w14:paraId="6B3448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百春园街道始终</w:t>
      </w: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val="en-US" w:eastAsia="zh-CN"/>
        </w:rPr>
        <w:t>把</w:t>
      </w:r>
      <w:r>
        <w:rPr>
          <w:rFonts w:hint="eastAsia" w:ascii="仿宋_GB2312" w:hAnsi="仿宋_GB2312" w:eastAsia="仿宋_GB2312" w:cs="仿宋_GB2312"/>
          <w:sz w:val="32"/>
          <w:szCs w:val="32"/>
        </w:rPr>
        <w:t>稳增长、保稳定、惠民生、</w:t>
      </w:r>
      <w:r>
        <w:rPr>
          <w:rFonts w:hint="eastAsia" w:ascii="仿宋_GB2312" w:hAnsi="仿宋_GB2312" w:eastAsia="仿宋_GB2312" w:cs="仿宋_GB2312"/>
          <w:sz w:val="32"/>
          <w:szCs w:val="32"/>
          <w:lang w:val="en-US" w:eastAsia="zh-CN"/>
        </w:rPr>
        <w:t>强队伍、</w:t>
      </w:r>
      <w:r>
        <w:rPr>
          <w:rFonts w:hint="eastAsia" w:ascii="仿宋_GB2312" w:hAnsi="仿宋_GB2312" w:eastAsia="仿宋_GB2312" w:cs="仿宋_GB2312"/>
          <w:sz w:val="32"/>
          <w:szCs w:val="32"/>
        </w:rPr>
        <w:t>促和谐</w:t>
      </w:r>
      <w:r>
        <w:rPr>
          <w:rFonts w:hint="eastAsia" w:ascii="仿宋_GB2312" w:hAnsi="仿宋_GB2312" w:eastAsia="仿宋_GB2312" w:cs="仿宋_GB2312"/>
          <w:sz w:val="32"/>
          <w:szCs w:val="32"/>
          <w:lang w:val="en-US" w:eastAsia="zh-CN"/>
        </w:rPr>
        <w:t>作为一切工作的出发点和立足点，全力推进建设“</w:t>
      </w:r>
      <w:r>
        <w:rPr>
          <w:rFonts w:hint="eastAsia" w:ascii="仿宋_GB2312" w:hAnsi="仿宋_GB2312" w:eastAsia="仿宋_GB2312" w:cs="仿宋_GB2312"/>
          <w:color w:val="000000"/>
          <w:sz w:val="32"/>
          <w:szCs w:val="32"/>
        </w:rPr>
        <w:t>宜居宜业、文化文</w:t>
      </w:r>
      <w:r>
        <w:rPr>
          <w:rFonts w:hint="eastAsia" w:ascii="仿宋_GB2312" w:hAnsi="仿宋_GB2312" w:eastAsia="仿宋_GB2312" w:cs="仿宋_GB2312"/>
          <w:sz w:val="32"/>
          <w:szCs w:val="32"/>
        </w:rPr>
        <w:t>明、美丽美好</w:t>
      </w:r>
      <w:r>
        <w:rPr>
          <w:rFonts w:hint="eastAsia" w:ascii="仿宋_GB2312" w:hAnsi="仿宋_GB2312" w:eastAsia="仿宋_GB2312" w:cs="仿宋_GB2312"/>
          <w:sz w:val="32"/>
          <w:szCs w:val="32"/>
          <w:lang w:val="en-US" w:eastAsia="zh-CN"/>
        </w:rPr>
        <w:t>”百春园。</w:t>
      </w:r>
    </w:p>
    <w:p w14:paraId="7BC236F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（一）经济发展稳运行。</w:t>
      </w:r>
      <w:r>
        <w:rPr>
          <w:rFonts w:hint="eastAsia" w:ascii="仿宋_GB2312" w:hAnsi="仿宋_GB2312" w:eastAsia="仿宋_GB2312" w:cs="仿宋_GB2312"/>
          <w:sz w:val="32"/>
          <w:szCs w:val="32"/>
          <w:lang w:val="en-US" w:eastAsia="zh-CN"/>
        </w:rPr>
        <w:t>今年以来，我街道坚持牢牢把握发展第一要务，实现了更加持续、更为健康的经济运行。</w:t>
      </w:r>
      <w:r>
        <w:rPr>
          <w:rFonts w:ascii="仿宋" w:hAnsi="仿宋" w:eastAsia="仿宋"/>
          <w:color w:val="000000"/>
          <w:sz w:val="30"/>
          <w:szCs w:val="30"/>
          <w:shd w:val="clear" w:color="auto" w:fill="FFFFFF"/>
        </w:rPr>
        <w:t>社会固定资产投资完成</w:t>
      </w:r>
      <w:r>
        <w:rPr>
          <w:rFonts w:hint="eastAsia" w:ascii="仿宋" w:hAnsi="仿宋" w:eastAsia="仿宋"/>
          <w:color w:val="000000"/>
          <w:sz w:val="30"/>
          <w:szCs w:val="30"/>
          <w:shd w:val="clear" w:color="auto" w:fill="FFFFFF"/>
        </w:rPr>
        <w:t>116250</w:t>
      </w:r>
      <w:r>
        <w:rPr>
          <w:rFonts w:ascii="仿宋" w:hAnsi="仿宋" w:eastAsia="仿宋"/>
          <w:color w:val="000000"/>
          <w:sz w:val="30"/>
          <w:szCs w:val="30"/>
          <w:shd w:val="clear" w:color="auto" w:fill="FFFFFF"/>
        </w:rPr>
        <w:t>万元（中央犬木塘水库已纳入本街道固定资产投资的报数范围），同比增长</w:t>
      </w:r>
      <w:r>
        <w:rPr>
          <w:rFonts w:hint="eastAsia" w:ascii="仿宋" w:hAnsi="仿宋" w:eastAsia="仿宋"/>
          <w:color w:val="000000"/>
          <w:sz w:val="30"/>
          <w:szCs w:val="30"/>
          <w:shd w:val="clear" w:color="auto" w:fill="FFFFFF"/>
        </w:rPr>
        <w:t>7</w:t>
      </w:r>
      <w:r>
        <w:rPr>
          <w:rFonts w:ascii="仿宋" w:hAnsi="仿宋" w:eastAsia="仿宋"/>
          <w:color w:val="000000"/>
          <w:sz w:val="30"/>
          <w:szCs w:val="30"/>
          <w:shd w:val="clear" w:color="auto" w:fill="FFFFFF"/>
        </w:rPr>
        <w:t>.</w:t>
      </w:r>
      <w:r>
        <w:rPr>
          <w:rFonts w:hint="eastAsia" w:ascii="仿宋" w:hAnsi="仿宋" w:eastAsia="仿宋"/>
          <w:color w:val="000000"/>
          <w:sz w:val="30"/>
          <w:szCs w:val="30"/>
          <w:shd w:val="clear" w:color="auto" w:fill="FFFFFF"/>
        </w:rPr>
        <w:t>6</w:t>
      </w:r>
      <w:r>
        <w:rPr>
          <w:rFonts w:ascii="仿宋" w:hAnsi="仿宋" w:eastAsia="仿宋"/>
          <w:color w:val="000000"/>
          <w:sz w:val="30"/>
          <w:szCs w:val="30"/>
          <w:shd w:val="clear" w:color="auto" w:fill="FFFFFF"/>
        </w:rPr>
        <w:t>%，社会消费品批发及零售、住宿餐饮业完成</w:t>
      </w:r>
      <w:r>
        <w:rPr>
          <w:rFonts w:hint="eastAsia" w:ascii="仿宋" w:hAnsi="仿宋" w:eastAsia="仿宋"/>
          <w:color w:val="000000"/>
          <w:sz w:val="30"/>
          <w:szCs w:val="30"/>
          <w:shd w:val="clear" w:color="auto" w:fill="FFFFFF"/>
        </w:rPr>
        <w:t>39802</w:t>
      </w:r>
      <w:r>
        <w:rPr>
          <w:rFonts w:ascii="仿宋" w:hAnsi="仿宋" w:eastAsia="仿宋"/>
          <w:color w:val="000000"/>
          <w:sz w:val="30"/>
          <w:szCs w:val="30"/>
          <w:shd w:val="clear" w:color="auto" w:fill="FFFFFF"/>
        </w:rPr>
        <w:t>万元，同比增长</w:t>
      </w:r>
      <w:r>
        <w:rPr>
          <w:rFonts w:hint="eastAsia" w:ascii="仿宋" w:hAnsi="仿宋" w:eastAsia="仿宋"/>
          <w:color w:val="000000"/>
          <w:sz w:val="30"/>
          <w:szCs w:val="30"/>
          <w:shd w:val="clear" w:color="auto" w:fill="FFFFFF"/>
        </w:rPr>
        <w:t>7</w:t>
      </w:r>
      <w:r>
        <w:rPr>
          <w:rFonts w:ascii="仿宋" w:hAnsi="仿宋" w:eastAsia="仿宋"/>
          <w:color w:val="000000"/>
          <w:sz w:val="30"/>
          <w:szCs w:val="30"/>
          <w:shd w:val="clear" w:color="auto" w:fill="FFFFFF"/>
        </w:rPr>
        <w:t>.</w:t>
      </w:r>
      <w:r>
        <w:rPr>
          <w:rFonts w:hint="eastAsia" w:ascii="仿宋" w:hAnsi="仿宋" w:eastAsia="仿宋"/>
          <w:color w:val="000000"/>
          <w:sz w:val="30"/>
          <w:szCs w:val="30"/>
          <w:shd w:val="clear" w:color="auto" w:fill="FFFFFF"/>
        </w:rPr>
        <w:t>1</w:t>
      </w:r>
      <w:r>
        <w:rPr>
          <w:rFonts w:ascii="仿宋" w:hAnsi="仿宋" w:eastAsia="仿宋"/>
          <w:color w:val="000000"/>
          <w:sz w:val="30"/>
          <w:szCs w:val="30"/>
          <w:shd w:val="clear" w:color="auto" w:fill="FFFFFF"/>
        </w:rPr>
        <w:t>%。招商引资项目7个，到位资金</w:t>
      </w:r>
      <w:r>
        <w:rPr>
          <w:rFonts w:hint="eastAsia" w:ascii="仿宋" w:hAnsi="仿宋" w:eastAsia="仿宋"/>
          <w:color w:val="000000"/>
          <w:sz w:val="30"/>
          <w:szCs w:val="30"/>
          <w:shd w:val="clear" w:color="auto" w:fill="FFFFFF"/>
        </w:rPr>
        <w:t>1</w:t>
      </w:r>
      <w:r>
        <w:rPr>
          <w:rFonts w:hint="eastAsia" w:ascii="仿宋" w:hAnsi="仿宋" w:eastAsia="仿宋"/>
          <w:color w:val="000000"/>
          <w:sz w:val="30"/>
          <w:szCs w:val="30"/>
          <w:shd w:val="clear" w:color="auto" w:fill="FFFFFF"/>
          <w:lang w:val="en-US" w:eastAsia="zh-CN"/>
        </w:rPr>
        <w:t>1800</w:t>
      </w:r>
      <w:r>
        <w:rPr>
          <w:rFonts w:ascii="仿宋" w:hAnsi="仿宋" w:eastAsia="仿宋"/>
          <w:color w:val="000000"/>
          <w:sz w:val="30"/>
          <w:szCs w:val="30"/>
          <w:shd w:val="clear" w:color="auto" w:fill="FFFFFF"/>
        </w:rPr>
        <w:t>万元，同比增长</w:t>
      </w:r>
      <w:r>
        <w:rPr>
          <w:rFonts w:hint="eastAsia" w:ascii="仿宋" w:hAnsi="仿宋" w:eastAsia="仿宋"/>
          <w:color w:val="000000"/>
          <w:sz w:val="30"/>
          <w:szCs w:val="30"/>
          <w:shd w:val="clear" w:color="auto" w:fill="FFFFFF"/>
          <w:lang w:val="en-US" w:eastAsia="zh-CN"/>
        </w:rPr>
        <w:t>5.4</w:t>
      </w:r>
      <w:r>
        <w:rPr>
          <w:rFonts w:ascii="仿宋" w:hAnsi="仿宋" w:eastAsia="仿宋"/>
          <w:color w:val="000000"/>
          <w:sz w:val="30"/>
          <w:szCs w:val="30"/>
          <w:shd w:val="clear" w:color="auto" w:fill="FFFFFF"/>
        </w:rPr>
        <w:t>%</w:t>
      </w:r>
      <w:r>
        <w:rPr>
          <w:rFonts w:hint="eastAsia" w:ascii="仿宋" w:hAnsi="仿宋" w:eastAsia="仿宋"/>
          <w:color w:val="000000"/>
          <w:sz w:val="30"/>
          <w:szCs w:val="30"/>
          <w:shd w:val="clear" w:color="auto" w:fill="FFFFFF"/>
          <w:lang w:eastAsia="zh-CN"/>
        </w:rPr>
        <w:t>。</w:t>
      </w:r>
      <w:r>
        <w:rPr>
          <w:rFonts w:hint="default" w:ascii="仿宋_GB2312" w:hAnsi="仿宋_GB2312" w:eastAsia="仿宋_GB2312" w:cs="仿宋_GB2312"/>
          <w:sz w:val="32"/>
          <w:szCs w:val="32"/>
          <w:lang w:val="en-US" w:eastAsia="zh-CN"/>
        </w:rPr>
        <w:t>为实现经济社会稳中提质、稳中向好，街道坚持把重点项目作为经济发展的主抓手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rPr>
        <w:t>狠抓犬木塘水库防洪堤三期、邵阳资水重要河段白田神滩及西外湾保护圈治理工程、资江干流资江南岸雪峰桥至桂花桥水环境综合治理工程、老旧小区改造、白洲棚户区改造、马蹄社区8-1征地等项目，作为街道转方式、调结构、促发展的重要载体，积极做好征地补偿、拆迁安置、矛盾调处等各项工作，加大堵点疏解治理，优化投资营商环境，目前所有项目均在有条不紊的推进中。</w:t>
      </w:r>
    </w:p>
    <w:p w14:paraId="67B5A06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（二）党建引领有活力。</w:t>
      </w:r>
      <w:r>
        <w:rPr>
          <w:rFonts w:hint="eastAsia" w:ascii="仿宋_GB2312" w:hAnsi="仿宋_GB2312" w:eastAsia="仿宋_GB2312" w:cs="仿宋_GB2312"/>
          <w:sz w:val="32"/>
          <w:szCs w:val="32"/>
          <w:lang w:val="en-US" w:eastAsia="zh-CN"/>
        </w:rPr>
        <w:t>今年以来，我街道</w:t>
      </w:r>
      <w:r>
        <w:rPr>
          <w:rFonts w:hint="eastAsia" w:ascii="仿宋" w:hAnsi="仿宋" w:eastAsia="仿宋" w:cs="仿宋"/>
          <w:b w:val="0"/>
          <w:bCs w:val="0"/>
          <w:sz w:val="32"/>
          <w:szCs w:val="32"/>
          <w:lang w:val="en-US" w:eastAsia="zh-CN"/>
        </w:rPr>
        <w:t>全面落实新时代党的建设总要求，着力完善上下贯通、执行有力、左右协同、充满活力的组织体系，实现党建工作与街道各项工作的深度融合。</w:t>
      </w:r>
      <w:r>
        <w:rPr>
          <w:rFonts w:hint="eastAsia" w:ascii="仿宋" w:hAnsi="仿宋" w:eastAsia="仿宋" w:cs="仿宋"/>
          <w:b/>
          <w:bCs/>
          <w:sz w:val="32"/>
          <w:szCs w:val="32"/>
          <w:lang w:val="en-US" w:eastAsia="zh-CN"/>
        </w:rPr>
        <w:t>一是创新学习模式，学用结合。</w:t>
      </w:r>
      <w:r>
        <w:rPr>
          <w:rFonts w:hint="eastAsia" w:ascii="仿宋" w:hAnsi="仿宋" w:eastAsia="仿宋" w:cs="仿宋"/>
          <w:b w:val="0"/>
          <w:bCs w:val="0"/>
          <w:sz w:val="32"/>
          <w:szCs w:val="32"/>
          <w:lang w:val="en-US" w:eastAsia="zh-CN"/>
        </w:rPr>
        <w:t>严格落实“三会一课”、主题党日等制度，邀请市委党校唐金国教授到街道授课，开展学习研讨会8次，开展专题党课4次。开展植树添绿主题党日，参观蔡锷故居，引导党员牢记党的理想和目标。</w:t>
      </w:r>
      <w:r>
        <w:rPr>
          <w:rFonts w:hint="eastAsia" w:ascii="仿宋" w:hAnsi="仿宋" w:eastAsia="仿宋" w:cs="仿宋"/>
          <w:b/>
          <w:bCs/>
          <w:sz w:val="32"/>
          <w:szCs w:val="32"/>
          <w:lang w:val="en-US" w:eastAsia="zh-CN"/>
        </w:rPr>
        <w:t>二是提质增效，推动工作稳固发展。</w:t>
      </w:r>
      <w:r>
        <w:rPr>
          <w:rFonts w:hint="eastAsia" w:ascii="仿宋" w:hAnsi="仿宋" w:eastAsia="仿宋" w:cs="仿宋"/>
          <w:b w:val="0"/>
          <w:bCs w:val="0"/>
          <w:sz w:val="32"/>
          <w:szCs w:val="32"/>
          <w:lang w:val="en-US" w:eastAsia="zh-CN"/>
        </w:rPr>
        <w:t>开展基层党建整建提质专项行动，对社区“两委”成员进行关于电诈、涉毒、涉赌、涉黑等方面的审查，开展“五清”“五看”谈心谈话、社区换届“回头看”；通过“五个到户”敲门行动、院落座谈会等形式建立三清单；针对软弱涣散党组织滑石村社区，严格按照“六个一”工作法要求进行整顿。</w:t>
      </w:r>
      <w:r>
        <w:rPr>
          <w:rFonts w:hint="eastAsia" w:ascii="仿宋" w:hAnsi="仿宋" w:eastAsia="仿宋" w:cs="仿宋"/>
          <w:b/>
          <w:bCs/>
          <w:sz w:val="32"/>
          <w:szCs w:val="32"/>
          <w:lang w:val="en-US" w:eastAsia="zh-CN"/>
        </w:rPr>
        <w:t>三是打造特色品牌，彰显党建力量。</w:t>
      </w:r>
      <w:r>
        <w:rPr>
          <w:rFonts w:hint="eastAsia" w:ascii="仿宋" w:hAnsi="仿宋" w:eastAsia="仿宋" w:cs="仿宋"/>
          <w:b w:val="0"/>
          <w:bCs w:val="0"/>
          <w:sz w:val="32"/>
          <w:szCs w:val="32"/>
          <w:lang w:val="en-US" w:eastAsia="zh-CN"/>
        </w:rPr>
        <w:t>目前街道预计打造珑湖小区完美小区和白洲社区示范退休干部党支部两个特色品牌。整合恒泰珑湖小区物业现有的资源，高标准建设党群服务中心，7月1日进行揭牌。白洲社区示范退休干部党支部依托老年大学，建强活动阵地，设置了“清廉茶话室”、“金秋党旗红”、“金秋幸福家”等活动阵地，包含了学习、活动、服务三大功能。</w:t>
      </w:r>
    </w:p>
    <w:p w14:paraId="64594A4C">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（三）城市管理有力度。</w:t>
      </w:r>
      <w:r>
        <w:rPr>
          <w:rFonts w:hint="eastAsia" w:ascii="仿宋" w:hAnsi="仿宋" w:eastAsia="仿宋" w:cs="仿宋"/>
          <w:b w:val="0"/>
          <w:bCs w:val="0"/>
          <w:sz w:val="32"/>
          <w:szCs w:val="32"/>
          <w:lang w:val="en-US" w:eastAsia="zh-CN"/>
        </w:rPr>
        <w:t>今年以来，我街道牢牢把握城市管理的需求导向，重点围绕日常市容环境整治、蓝天保卫战、城区生活垃圾分类等，优化更加宜居、更为宜业的环境氛围。</w:t>
      </w:r>
      <w:r>
        <w:rPr>
          <w:rFonts w:hint="eastAsia" w:ascii="仿宋" w:hAnsi="仿宋" w:eastAsia="仿宋" w:cs="仿宋"/>
          <w:b/>
          <w:bCs/>
          <w:sz w:val="32"/>
          <w:szCs w:val="32"/>
          <w:lang w:val="en-US" w:eastAsia="zh-CN"/>
        </w:rPr>
        <w:t>一是坚决治理“脏、乱、差”现象。</w:t>
      </w:r>
      <w:r>
        <w:rPr>
          <w:rFonts w:hint="eastAsia" w:ascii="仿宋" w:hAnsi="仿宋" w:eastAsia="仿宋" w:cs="仿宋"/>
          <w:b w:val="0"/>
          <w:bCs w:val="0"/>
          <w:sz w:val="32"/>
          <w:szCs w:val="32"/>
          <w:lang w:val="en-US" w:eastAsia="zh-CN"/>
        </w:rPr>
        <w:t>对辖区内流动摊贩的占道经营和门店“门前三包”责任的制度落实情况进行劝导和督查，截至目前共处理上级下发的各类简易案件4200余起，暂扣违法占道经营工具210余件，联合区城管执法大队对辖区门店进行经营秩序整治，处理85起不听劝、出店经营的门店，处罚3000元，清运各类垃圾杂物320余车次共计1000余吨，处理数字化城管案件3600余件。</w:t>
      </w:r>
      <w:r>
        <w:rPr>
          <w:rFonts w:hint="eastAsia" w:ascii="仿宋" w:hAnsi="仿宋" w:eastAsia="仿宋" w:cs="仿宋"/>
          <w:b/>
          <w:bCs/>
          <w:sz w:val="32"/>
          <w:szCs w:val="32"/>
          <w:lang w:val="en-US" w:eastAsia="zh-CN"/>
        </w:rPr>
        <w:t>二是加大违章建筑打击力度。</w:t>
      </w:r>
      <w:r>
        <w:rPr>
          <w:rFonts w:hint="eastAsia" w:ascii="仿宋" w:hAnsi="仿宋" w:eastAsia="仿宋" w:cs="仿宋"/>
          <w:b w:val="0"/>
          <w:bCs w:val="0"/>
          <w:sz w:val="32"/>
          <w:szCs w:val="32"/>
          <w:lang w:val="en-US" w:eastAsia="zh-CN"/>
        </w:rPr>
        <w:t>针对违反政策私自建房、搭棚架和扩改建的行为，绝不姑息，坚持“发现一起、打击一起”的原则，有效的控制了辖区违法建设的新增量，畅通居民举报投诉渠道，</w:t>
      </w:r>
      <w:r>
        <w:rPr>
          <w:rFonts w:hint="eastAsia" w:ascii="仿宋" w:hAnsi="仿宋" w:eastAsia="仿宋" w:cs="仿宋"/>
          <w:sz w:val="32"/>
          <w:szCs w:val="32"/>
          <w:lang w:val="en-US" w:eastAsia="zh-CN"/>
        </w:rPr>
        <w:t>对及时发现的新增27处违章建房现象进行拆除，面积约为1800平方，配合街道重点项目建设拆除违章建筑和有风险隐患房屋15栋大约18000平方，拆除居民旱厕30座约300平方，分别对居民反映强烈的雅和新苑小区违建消防通风窗口和楼顶违章建筑进行了恢复性拆除和整改。</w:t>
      </w:r>
      <w:r>
        <w:rPr>
          <w:rFonts w:hint="eastAsia" w:ascii="仿宋" w:hAnsi="仿宋" w:eastAsia="仿宋" w:cs="仿宋"/>
          <w:b/>
          <w:bCs/>
          <w:sz w:val="32"/>
          <w:szCs w:val="32"/>
          <w:lang w:val="en-US" w:eastAsia="zh-CN"/>
        </w:rPr>
        <w:t>三是加强瓶装液化气排查。</w:t>
      </w:r>
      <w:r>
        <w:rPr>
          <w:rFonts w:hint="eastAsia" w:ascii="仿宋" w:hAnsi="仿宋" w:eastAsia="仿宋" w:cs="仿宋"/>
          <w:b w:val="0"/>
          <w:bCs w:val="0"/>
          <w:sz w:val="32"/>
          <w:szCs w:val="32"/>
          <w:lang w:val="en-US" w:eastAsia="zh-CN"/>
        </w:rPr>
        <w:t>对辖区所有的瓶装液化气的经营门店和使用经营户进行了全方位、无死角的安全检查，辖区瓶装液化气销售门店均由社区专人进行监管，存在安全隐患的全部撤离，辖区门店使用瓶装液化气的经营户，全部下达问题整改通知书，要求经营业主进行及时整改。</w:t>
      </w:r>
      <w:r>
        <w:rPr>
          <w:rFonts w:hint="eastAsia" w:ascii="仿宋" w:hAnsi="仿宋" w:eastAsia="仿宋" w:cs="仿宋"/>
          <w:b/>
          <w:bCs/>
          <w:sz w:val="32"/>
          <w:szCs w:val="32"/>
          <w:lang w:val="en-US" w:eastAsia="zh-CN"/>
        </w:rPr>
        <w:t>四是自建房摸排有成效。</w:t>
      </w:r>
      <w:r>
        <w:rPr>
          <w:rFonts w:hint="eastAsia" w:ascii="仿宋" w:hAnsi="仿宋" w:eastAsia="仿宋" w:cs="仿宋"/>
          <w:sz w:val="32"/>
          <w:szCs w:val="32"/>
          <w:lang w:eastAsia="zh-CN"/>
        </w:rPr>
        <w:t>为</w:t>
      </w:r>
      <w:r>
        <w:rPr>
          <w:rFonts w:hint="eastAsia" w:ascii="仿宋" w:hAnsi="仿宋" w:eastAsia="仿宋" w:cs="仿宋"/>
          <w:sz w:val="32"/>
          <w:szCs w:val="32"/>
        </w:rPr>
        <w:t>安置地上自建房</w:t>
      </w:r>
      <w:r>
        <w:rPr>
          <w:rFonts w:hint="eastAsia" w:ascii="仿宋" w:hAnsi="仿宋" w:eastAsia="仿宋" w:cs="仿宋"/>
          <w:sz w:val="32"/>
          <w:szCs w:val="32"/>
          <w:lang w:eastAsia="zh-CN"/>
        </w:rPr>
        <w:t>合法合规性，安置房</w:t>
      </w:r>
      <w:r>
        <w:rPr>
          <w:rFonts w:hint="eastAsia" w:ascii="仿宋" w:hAnsi="仿宋" w:eastAsia="仿宋" w:cs="仿宋"/>
          <w:sz w:val="32"/>
          <w:szCs w:val="32"/>
        </w:rPr>
        <w:t>办证涉及宗地</w:t>
      </w:r>
      <w:r>
        <w:rPr>
          <w:rFonts w:hint="eastAsia" w:ascii="仿宋" w:hAnsi="仿宋" w:eastAsia="仿宋" w:cs="仿宋"/>
          <w:sz w:val="32"/>
          <w:szCs w:val="32"/>
          <w:lang w:val="en-US" w:eastAsia="zh-CN"/>
        </w:rPr>
        <w:t>9</w:t>
      </w:r>
      <w:r>
        <w:rPr>
          <w:rFonts w:hint="eastAsia" w:ascii="仿宋" w:hAnsi="仿宋" w:eastAsia="仿宋" w:cs="仿宋"/>
          <w:sz w:val="32"/>
          <w:szCs w:val="32"/>
        </w:rPr>
        <w:t>宗，涉及房屋121栋，户数135户。截止目前已完成测绘115，出报告105栋，完成质量鉴定121栋，完成消防评估98栋；违法建设处罚7户，城管罚款征缴12万，土地出让金收缴10栋，金额43万，税费征缴0.8万，预交款62万，</w:t>
      </w:r>
      <w:r>
        <w:rPr>
          <w:rFonts w:hint="eastAsia" w:ascii="仿宋" w:hAnsi="仿宋" w:eastAsia="仿宋" w:cs="仿宋"/>
          <w:sz w:val="32"/>
          <w:szCs w:val="32"/>
          <w:lang w:val="en-US" w:eastAsia="zh-CN"/>
        </w:rPr>
        <w:t>共计收缴自建房办证资金140余万，</w:t>
      </w:r>
      <w:r>
        <w:rPr>
          <w:rFonts w:hint="eastAsia" w:ascii="仿宋" w:hAnsi="仿宋" w:eastAsia="仿宋" w:cs="仿宋"/>
          <w:sz w:val="32"/>
          <w:szCs w:val="32"/>
        </w:rPr>
        <w:t>资料递交市处置办31栋，已审9栋</w:t>
      </w:r>
      <w:r>
        <w:rPr>
          <w:rFonts w:hint="eastAsia" w:ascii="仿宋" w:hAnsi="仿宋" w:eastAsia="仿宋" w:cs="仿宋"/>
          <w:sz w:val="32"/>
          <w:szCs w:val="32"/>
          <w:lang w:eastAsia="zh-CN"/>
        </w:rPr>
        <w:t>，</w:t>
      </w:r>
      <w:r>
        <w:rPr>
          <w:rFonts w:hint="eastAsia" w:ascii="仿宋" w:hAnsi="仿宋" w:eastAsia="仿宋" w:cs="仿宋"/>
          <w:sz w:val="32"/>
          <w:szCs w:val="32"/>
        </w:rPr>
        <w:t>其中有5户款项已全部交齐等市局过审移交不动产中心办证。</w:t>
      </w:r>
    </w:p>
    <w:p w14:paraId="686BB9EB">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（四）基层治理保平安。</w:t>
      </w:r>
      <w:r>
        <w:rPr>
          <w:rFonts w:hint="eastAsia" w:ascii="仿宋" w:hAnsi="仿宋" w:eastAsia="仿宋" w:cs="仿宋"/>
          <w:sz w:val="32"/>
          <w:szCs w:val="32"/>
          <w:lang w:val="en-US" w:eastAsia="zh-CN"/>
        </w:rPr>
        <w:t>今年以来，我街道牢牢把握“</w:t>
      </w:r>
      <w:r>
        <w:rPr>
          <w:rFonts w:hint="eastAsia" w:ascii="仿宋" w:hAnsi="仿宋" w:eastAsia="仿宋" w:cs="仿宋"/>
          <w:i w:val="0"/>
          <w:caps w:val="0"/>
          <w:color w:val="auto"/>
          <w:spacing w:val="0"/>
          <w:sz w:val="32"/>
          <w:szCs w:val="32"/>
          <w:shd w:val="clear" w:color="auto" w:fill="FFFFFF"/>
        </w:rPr>
        <w:t>保一方平安促一方和谐</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lang w:val="en-US" w:eastAsia="zh-CN"/>
        </w:rPr>
        <w:t>的工作要求，</w:t>
      </w:r>
      <w:r>
        <w:rPr>
          <w:rFonts w:hint="eastAsia" w:ascii="仿宋" w:hAnsi="仿宋" w:eastAsia="仿宋" w:cs="仿宋"/>
          <w:i w:val="0"/>
          <w:caps w:val="0"/>
          <w:color w:val="auto"/>
          <w:spacing w:val="0"/>
          <w:sz w:val="32"/>
          <w:szCs w:val="32"/>
          <w:shd w:val="clear" w:color="auto" w:fill="FFFFFF"/>
        </w:rPr>
        <w:t>不断创新社会管理措施，狠抓细抓平安建设综治维稳各项工作落实</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b/>
          <w:bCs w:val="0"/>
          <w:kern w:val="0"/>
          <w:sz w:val="32"/>
          <w:szCs w:val="32"/>
          <w:lang w:val="en-US" w:eastAsia="zh-CN"/>
        </w:rPr>
        <w:t>一</w:t>
      </w:r>
      <w:r>
        <w:rPr>
          <w:rFonts w:hint="eastAsia" w:ascii="仿宋" w:hAnsi="仿宋" w:eastAsia="仿宋" w:cs="仿宋"/>
          <w:b/>
          <w:bCs w:val="0"/>
          <w:kern w:val="0"/>
          <w:sz w:val="32"/>
          <w:szCs w:val="32"/>
        </w:rPr>
        <w:t>是</w:t>
      </w:r>
      <w:r>
        <w:rPr>
          <w:rFonts w:hint="eastAsia" w:ascii="仿宋" w:hAnsi="仿宋" w:eastAsia="仿宋" w:cs="仿宋"/>
          <w:b/>
          <w:bCs w:val="0"/>
          <w:kern w:val="0"/>
          <w:sz w:val="32"/>
          <w:szCs w:val="32"/>
          <w:lang w:val="en-US" w:eastAsia="zh-CN"/>
        </w:rPr>
        <w:t>扎实开展信访维稳工作</w:t>
      </w:r>
      <w:r>
        <w:rPr>
          <w:rFonts w:hint="eastAsia" w:ascii="仿宋" w:hAnsi="仿宋" w:eastAsia="仿宋" w:cs="仿宋"/>
          <w:b/>
          <w:bCs w:val="0"/>
          <w:kern w:val="0"/>
          <w:sz w:val="32"/>
          <w:szCs w:val="32"/>
        </w:rPr>
        <w:t>。</w:t>
      </w:r>
      <w:r>
        <w:rPr>
          <w:rFonts w:hint="eastAsia" w:ascii="仿宋" w:hAnsi="仿宋" w:eastAsia="仿宋" w:cs="仿宋"/>
          <w:kern w:val="0"/>
          <w:sz w:val="32"/>
          <w:szCs w:val="32"/>
        </w:rPr>
        <w:t>深入落实领导干部定期接访、机关干部下访机制，认真梳理群众反映强烈且长期得不到解决的疑难信访积案。</w:t>
      </w:r>
      <w:r>
        <w:rPr>
          <w:rFonts w:hint="eastAsia" w:ascii="仿宋" w:hAnsi="仿宋" w:eastAsia="仿宋" w:cs="仿宋"/>
          <w:kern w:val="0"/>
          <w:sz w:val="32"/>
          <w:szCs w:val="32"/>
          <w:lang w:val="en-US" w:eastAsia="zh-CN"/>
        </w:rPr>
        <w:t>截至目前</w:t>
      </w:r>
      <w:r>
        <w:rPr>
          <w:rFonts w:hint="eastAsia" w:ascii="仿宋" w:hAnsi="仿宋" w:eastAsia="仿宋" w:cs="仿宋"/>
          <w:kern w:val="0"/>
          <w:sz w:val="32"/>
          <w:szCs w:val="32"/>
        </w:rPr>
        <w:t>，</w:t>
      </w:r>
      <w:r>
        <w:rPr>
          <w:rFonts w:hint="eastAsia" w:ascii="仿宋" w:hAnsi="仿宋" w:eastAsia="仿宋" w:cs="仿宋"/>
          <w:color w:val="000000" w:themeColor="text1"/>
          <w:kern w:val="0"/>
          <w:sz w:val="32"/>
          <w:szCs w:val="32"/>
          <w14:textFill>
            <w14:solidFill>
              <w14:schemeClr w14:val="tx1"/>
            </w14:solidFill>
          </w14:textFill>
        </w:rPr>
        <w:t>我街道处理群众来访共计</w:t>
      </w:r>
      <w:r>
        <w:rPr>
          <w:rFonts w:hint="eastAsia" w:ascii="仿宋" w:hAnsi="仿宋" w:eastAsia="仿宋" w:cs="仿宋"/>
          <w:color w:val="000000" w:themeColor="text1"/>
          <w:kern w:val="0"/>
          <w:sz w:val="32"/>
          <w:szCs w:val="32"/>
          <w:lang w:val="en-US" w:eastAsia="zh-CN"/>
          <w14:textFill>
            <w14:solidFill>
              <w14:schemeClr w14:val="tx1"/>
            </w14:solidFill>
          </w14:textFill>
        </w:rPr>
        <w:t>81</w:t>
      </w:r>
      <w:r>
        <w:rPr>
          <w:rFonts w:hint="eastAsia" w:ascii="仿宋" w:hAnsi="仿宋" w:eastAsia="仿宋" w:cs="仿宋"/>
          <w:color w:val="000000" w:themeColor="text1"/>
          <w:kern w:val="0"/>
          <w:sz w:val="32"/>
          <w:szCs w:val="32"/>
          <w14:textFill>
            <w14:solidFill>
              <w14:schemeClr w14:val="tx1"/>
            </w14:solidFill>
          </w14:textFill>
        </w:rPr>
        <w:t>件，处理好信访件</w:t>
      </w:r>
      <w:r>
        <w:rPr>
          <w:rFonts w:hint="eastAsia" w:ascii="仿宋" w:hAnsi="仿宋" w:eastAsia="仿宋" w:cs="仿宋"/>
          <w:color w:val="000000" w:themeColor="text1"/>
          <w:kern w:val="0"/>
          <w:sz w:val="32"/>
          <w:szCs w:val="32"/>
          <w:lang w:val="en-US" w:eastAsia="zh-CN"/>
          <w14:textFill>
            <w14:solidFill>
              <w14:schemeClr w14:val="tx1"/>
            </w14:solidFill>
          </w14:textFill>
        </w:rPr>
        <w:t>71</w:t>
      </w:r>
      <w:r>
        <w:rPr>
          <w:rFonts w:hint="eastAsia" w:ascii="仿宋" w:hAnsi="仿宋" w:eastAsia="仿宋" w:cs="仿宋"/>
          <w:color w:val="000000" w:themeColor="text1"/>
          <w:kern w:val="0"/>
          <w:sz w:val="32"/>
          <w:szCs w:val="32"/>
          <w14:textFill>
            <w14:solidFill>
              <w14:schemeClr w14:val="tx1"/>
            </w14:solidFill>
          </w14:textFill>
        </w:rPr>
        <w:t>件 ，其中完成上级交办函29件，处理化解网上信访</w:t>
      </w:r>
      <w:r>
        <w:rPr>
          <w:rFonts w:hint="eastAsia" w:ascii="仿宋" w:hAnsi="仿宋" w:eastAsia="仿宋" w:cs="仿宋"/>
          <w:color w:val="000000" w:themeColor="text1"/>
          <w:kern w:val="0"/>
          <w:sz w:val="32"/>
          <w:szCs w:val="32"/>
          <w:lang w:val="en-US" w:eastAsia="zh-CN"/>
          <w14:textFill>
            <w14:solidFill>
              <w14:schemeClr w14:val="tx1"/>
            </w14:solidFill>
          </w14:textFill>
        </w:rPr>
        <w:t>11</w:t>
      </w:r>
      <w:r>
        <w:rPr>
          <w:rFonts w:hint="eastAsia" w:ascii="仿宋" w:hAnsi="仿宋" w:eastAsia="仿宋" w:cs="仿宋"/>
          <w:color w:val="000000" w:themeColor="text1"/>
          <w:kern w:val="0"/>
          <w:sz w:val="32"/>
          <w:szCs w:val="32"/>
          <w14:textFill>
            <w14:solidFill>
              <w14:schemeClr w14:val="tx1"/>
            </w14:solidFill>
          </w14:textFill>
        </w:rPr>
        <w:t>件,去市区接访23次，避免体上访5件</w:t>
      </w:r>
      <w:r>
        <w:rPr>
          <w:rFonts w:hint="eastAsia" w:ascii="仿宋" w:hAnsi="仿宋" w:eastAsia="仿宋" w:cs="仿宋"/>
          <w:color w:val="000000" w:themeColor="text1"/>
          <w:kern w:val="0"/>
          <w:sz w:val="32"/>
          <w:szCs w:val="32"/>
          <w:lang w:val="en-US" w:eastAsia="zh-CN"/>
          <w14:textFill>
            <w14:solidFill>
              <w14:schemeClr w14:val="tx1"/>
            </w14:solidFill>
          </w14:textFill>
        </w:rPr>
        <w:t>。</w:t>
      </w:r>
      <w:r>
        <w:rPr>
          <w:rFonts w:hint="eastAsia" w:ascii="仿宋" w:hAnsi="仿宋" w:eastAsia="仿宋" w:cs="仿宋"/>
          <w:b/>
          <w:bCs/>
          <w:kern w:val="0"/>
          <w:sz w:val="32"/>
          <w:szCs w:val="32"/>
          <w:lang w:val="en-US" w:eastAsia="zh-CN"/>
        </w:rPr>
        <w:t>二是多渠道倾听群众呼声。</w:t>
      </w:r>
      <w:r>
        <w:rPr>
          <w:rFonts w:hint="eastAsia" w:ascii="仿宋" w:hAnsi="仿宋" w:eastAsia="仿宋" w:cs="仿宋"/>
          <w:i w:val="0"/>
          <w:caps w:val="0"/>
          <w:color w:val="auto"/>
          <w:spacing w:val="0"/>
          <w:sz w:val="32"/>
          <w:szCs w:val="32"/>
          <w:shd w:val="clear" w:color="auto" w:fill="FFFFFF"/>
        </w:rPr>
        <w:t>今年来街道共组织各社区召开民情恳谈会14次，共走访居民14026户，收集群众意见30余条，整改反馈27条，其中3条不属于街道和社区职能范围内的问题，街道采取“与辖区单位互动入户，与栋组长亲情入户、与低保对象引领入户”的方式共发放宣传资料2万余份，收到较好的效果。</w:t>
      </w:r>
      <w:r>
        <w:rPr>
          <w:rFonts w:hint="eastAsia" w:ascii="仿宋" w:hAnsi="仿宋" w:eastAsia="仿宋" w:cs="仿宋"/>
          <w:b/>
          <w:bCs/>
          <w:i w:val="0"/>
          <w:caps w:val="0"/>
          <w:color w:val="auto"/>
          <w:spacing w:val="0"/>
          <w:sz w:val="32"/>
          <w:szCs w:val="32"/>
          <w:shd w:val="clear" w:color="auto" w:fill="FFFFFF"/>
          <w:lang w:val="en-US" w:eastAsia="zh-CN"/>
        </w:rPr>
        <w:t>三是</w:t>
      </w:r>
      <w:r>
        <w:rPr>
          <w:rFonts w:hint="eastAsia" w:ascii="仿宋" w:hAnsi="仿宋" w:eastAsia="仿宋" w:cs="仿宋"/>
          <w:b/>
          <w:bCs/>
          <w:kern w:val="0"/>
          <w:sz w:val="32"/>
          <w:szCs w:val="32"/>
          <w:lang w:val="en-US" w:eastAsia="zh-CN"/>
        </w:rPr>
        <w:t>平安建设工作宣传到位。</w:t>
      </w:r>
      <w:r>
        <w:rPr>
          <w:rFonts w:hint="eastAsia" w:ascii="仿宋" w:hAnsi="仿宋" w:eastAsia="仿宋" w:cs="仿宋"/>
          <w:i w:val="0"/>
          <w:caps w:val="0"/>
          <w:color w:val="auto"/>
          <w:spacing w:val="0"/>
          <w:sz w:val="32"/>
          <w:szCs w:val="32"/>
          <w:shd w:val="clear" w:color="auto" w:fill="FFFFFF"/>
        </w:rPr>
        <w:t>街道投入了大量的经费，印制了大量的宣传资料，制作了扫黑除恶、平安建设和禁毒攻坚的购物环保袋等宣传实物，在辖区内的沿街主干道制作大型的扫黑除恶、禁毒宣传公益广告50幅，在市劳动就业大厦的大型电子显示屏上滚动播放扫黑除恶、禁毒公益宣传视频，6月26日在白洲社区西苑公园开展大型禁毒宣传活动，发放宣传资料2万余份，赢得辖区居民的支持和配合。</w:t>
      </w:r>
      <w:r>
        <w:rPr>
          <w:rFonts w:hint="eastAsia" w:ascii="仿宋" w:hAnsi="仿宋" w:eastAsia="仿宋" w:cs="仿宋"/>
          <w:b/>
          <w:bCs/>
          <w:color w:val="auto"/>
          <w:sz w:val="32"/>
          <w:szCs w:val="32"/>
          <w:lang w:val="en-US" w:eastAsia="zh-CN"/>
        </w:rPr>
        <w:t>四是筑牢安全生产防线。</w:t>
      </w:r>
      <w:r>
        <w:rPr>
          <w:rFonts w:hint="eastAsia" w:ascii="仿宋_GB2312" w:hAnsi="仿宋_GB2312" w:eastAsia="仿宋_GB2312" w:cs="仿宋_GB2312"/>
          <w:sz w:val="32"/>
          <w:szCs w:val="32"/>
          <w:lang w:val="en-US" w:eastAsia="zh-CN"/>
        </w:rPr>
        <w:t>今年以来结合“千家万户、千街万巷、千万干部”消防安全“百日敲门行动”，发放冬春季安全温馨提示宣传单</w:t>
      </w:r>
      <w:r>
        <w:rPr>
          <w:rFonts w:hint="eastAsia" w:ascii="仿宋_GB2312" w:hAnsi="仿宋_GB2312" w:eastAsia="仿宋_GB2312" w:cs="仿宋_GB2312"/>
          <w:sz w:val="32"/>
          <w:szCs w:val="32"/>
        </w:rPr>
        <w:t>资料</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000余份</w:t>
      </w:r>
      <w:r>
        <w:rPr>
          <w:rFonts w:hint="eastAsia" w:ascii="仿宋_GB2312" w:hAnsi="仿宋_GB2312" w:eastAsia="仿宋_GB2312" w:cs="仿宋_GB2312"/>
          <w:sz w:val="32"/>
          <w:szCs w:val="32"/>
          <w:lang w:val="en-US" w:eastAsia="zh-CN"/>
        </w:rPr>
        <w:t>.街道在辖区内悬挂宣传横幅18条，组织各辖区单位挂宣传横幅32条；利用辖区内沿街门店的电子屏滚动播放安全生产标语；制作</w:t>
      </w:r>
      <w:r>
        <w:rPr>
          <w:rFonts w:hint="eastAsia" w:ascii="仿宋_GB2312" w:hAnsi="仿宋_GB2312" w:eastAsia="仿宋_GB2312" w:cs="仿宋_GB2312"/>
          <w:b w:val="0"/>
          <w:bCs w:val="0"/>
          <w:spacing w:val="0"/>
          <w:sz w:val="32"/>
          <w:szCs w:val="32"/>
          <w:lang w:eastAsia="zh-CN"/>
        </w:rPr>
        <w:t>固定宣传橱窗</w:t>
      </w:r>
      <w:r>
        <w:rPr>
          <w:rFonts w:hint="eastAsia" w:ascii="仿宋_GB2312" w:hAnsi="仿宋_GB2312" w:eastAsia="仿宋_GB2312" w:cs="仿宋_GB2312"/>
          <w:b w:val="0"/>
          <w:bCs w:val="0"/>
          <w:spacing w:val="0"/>
          <w:sz w:val="32"/>
          <w:szCs w:val="32"/>
          <w:lang w:val="en-US" w:eastAsia="zh-CN"/>
        </w:rPr>
        <w:t>2块</w:t>
      </w:r>
      <w:r>
        <w:rPr>
          <w:rFonts w:hint="eastAsia" w:ascii="仿宋_GB2312" w:hAnsi="仿宋_GB2312" w:eastAsia="仿宋_GB2312" w:cs="仿宋_GB2312"/>
          <w:b w:val="0"/>
          <w:bCs w:val="0"/>
          <w:spacing w:val="0"/>
          <w:sz w:val="32"/>
          <w:szCs w:val="32"/>
          <w:lang w:eastAsia="zh-CN"/>
        </w:rPr>
        <w:t>，活动宣传展板</w:t>
      </w:r>
      <w:r>
        <w:rPr>
          <w:rFonts w:hint="eastAsia" w:ascii="仿宋_GB2312" w:hAnsi="仿宋_GB2312" w:eastAsia="仿宋_GB2312" w:cs="仿宋_GB2312"/>
          <w:b w:val="0"/>
          <w:bCs w:val="0"/>
          <w:spacing w:val="0"/>
          <w:sz w:val="32"/>
          <w:szCs w:val="32"/>
          <w:lang w:val="en-US" w:eastAsia="zh-CN"/>
        </w:rPr>
        <w:t>4块；</w:t>
      </w:r>
      <w:r>
        <w:rPr>
          <w:rFonts w:hint="eastAsia" w:ascii="仿宋_GB2312" w:hAnsi="仿宋_GB2312" w:eastAsia="仿宋_GB2312" w:cs="仿宋_GB2312"/>
          <w:sz w:val="32"/>
          <w:szCs w:val="32"/>
          <w:lang w:val="en-US" w:eastAsia="zh-CN"/>
        </w:rPr>
        <w:t>到辖区内各单位、门店发放安全生产宣传资料2000多份；利用微信群向居民发送安全提醒消息；在微信群开展线上网络直播宣传安全生产、消防安全知识；6月16日街道参加区应急局在城南公园开展安全生产咨询日活动，利用展板宣传安全生产，向市民发放关于</w:t>
      </w:r>
      <w:r>
        <w:rPr>
          <w:rFonts w:hint="eastAsia" w:ascii="仿宋_GB2312" w:hAnsi="仿宋_GB2312" w:eastAsia="仿宋_GB2312" w:cs="仿宋_GB2312"/>
          <w:b w:val="0"/>
          <w:bCs/>
          <w:i w:val="0"/>
          <w:caps w:val="0"/>
          <w:color w:val="000000" w:themeColor="text1"/>
          <w:spacing w:val="-15"/>
          <w:sz w:val="32"/>
          <w:szCs w:val="32"/>
          <w:shd w:val="clear" w:color="auto" w:fill="auto"/>
          <w14:textFill>
            <w14:solidFill>
              <w14:schemeClr w14:val="tx1"/>
            </w14:solidFill>
          </w14:textFill>
        </w:rPr>
        <w:t>火灾逃生自救十法和预防火灾小常识</w:t>
      </w:r>
      <w:r>
        <w:rPr>
          <w:rFonts w:hint="eastAsia" w:ascii="仿宋_GB2312" w:hAnsi="仿宋_GB2312" w:eastAsia="仿宋_GB2312" w:cs="仿宋_GB2312"/>
          <w:b w:val="0"/>
          <w:bCs/>
          <w:i w:val="0"/>
          <w:caps w:val="0"/>
          <w:color w:val="000000" w:themeColor="text1"/>
          <w:spacing w:val="-15"/>
          <w:sz w:val="32"/>
          <w:szCs w:val="32"/>
          <w:shd w:val="clear" w:color="auto" w:fill="auto"/>
          <w:lang w:eastAsia="zh-CN"/>
          <w14:textFill>
            <w14:solidFill>
              <w14:schemeClr w14:val="tx1"/>
            </w14:solidFill>
          </w14:textFill>
        </w:rPr>
        <w:t>、社区居民安全常识手册、</w:t>
      </w:r>
      <w:r>
        <w:rPr>
          <w:rFonts w:hint="eastAsia" w:ascii="仿宋_GB2312" w:hAnsi="仿宋_GB2312" w:eastAsia="仿宋_GB2312" w:cs="仿宋_GB2312"/>
          <w:b w:val="0"/>
          <w:bCs/>
          <w:i w:val="0"/>
          <w:caps w:val="0"/>
          <w:color w:val="000000"/>
          <w:spacing w:val="-15"/>
          <w:sz w:val="32"/>
          <w:szCs w:val="32"/>
          <w:shd w:val="clear" w:color="auto" w:fill="auto"/>
        </w:rPr>
        <w:t>危险化学品安全常识</w:t>
      </w:r>
      <w:r>
        <w:rPr>
          <w:rFonts w:hint="eastAsia" w:ascii="仿宋_GB2312" w:hAnsi="仿宋_GB2312" w:eastAsia="仿宋_GB2312" w:cs="仿宋_GB2312"/>
          <w:b w:val="0"/>
          <w:bCs/>
          <w:i w:val="0"/>
          <w:caps w:val="0"/>
          <w:color w:val="000000"/>
          <w:spacing w:val="-15"/>
          <w:sz w:val="32"/>
          <w:szCs w:val="32"/>
          <w:shd w:val="clear" w:color="auto" w:fill="auto"/>
          <w:lang w:eastAsia="zh-CN"/>
        </w:rPr>
        <w:t>等</w:t>
      </w:r>
      <w:r>
        <w:rPr>
          <w:rFonts w:hint="eastAsia" w:ascii="仿宋_GB2312" w:hAnsi="仿宋_GB2312" w:eastAsia="仿宋_GB2312" w:cs="仿宋_GB2312"/>
          <w:sz w:val="32"/>
          <w:szCs w:val="32"/>
          <w:lang w:val="en-US" w:eastAsia="zh-CN"/>
        </w:rPr>
        <w:t>安全宣传资料1000余份。</w:t>
      </w:r>
    </w:p>
    <w:p w14:paraId="48116E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（五）惠民利民有保障。</w:t>
      </w:r>
      <w:r>
        <w:rPr>
          <w:rFonts w:hint="eastAsia" w:ascii="仿宋" w:hAnsi="仿宋" w:eastAsia="仿宋" w:cs="仿宋"/>
          <w:sz w:val="32"/>
          <w:szCs w:val="32"/>
          <w:lang w:val="en-US" w:eastAsia="zh-CN"/>
        </w:rPr>
        <w:t>今年以来，我街道牢牢把握以民为本、为民解困、为民服务的工作宗旨，积极发挥服务保障职能，认真落实各项惠民政策。</w:t>
      </w:r>
      <w:r>
        <w:rPr>
          <w:rFonts w:hint="eastAsia" w:ascii="仿宋" w:hAnsi="仿宋" w:eastAsia="仿宋" w:cs="仿宋"/>
          <w:b/>
          <w:bCs/>
          <w:sz w:val="32"/>
          <w:szCs w:val="32"/>
          <w:lang w:val="en-US" w:eastAsia="zh-CN"/>
        </w:rPr>
        <w:t>一是</w:t>
      </w:r>
      <w:r>
        <w:rPr>
          <w:rFonts w:hint="eastAsia" w:ascii="仿宋" w:hAnsi="仿宋" w:eastAsia="仿宋" w:cs="仿宋"/>
          <w:b/>
          <w:bCs/>
          <w:sz w:val="32"/>
          <w:szCs w:val="32"/>
        </w:rPr>
        <w:t>大力抓好社会救助。</w:t>
      </w:r>
      <w:r>
        <w:rPr>
          <w:rFonts w:hint="eastAsia" w:ascii="仿宋" w:hAnsi="仿宋" w:eastAsia="仿宋" w:cs="仿宋"/>
          <w:sz w:val="32"/>
          <w:szCs w:val="32"/>
          <w:lang w:val="en-US" w:eastAsia="zh-CN"/>
        </w:rPr>
        <w:t>2023年，街道共有低保户276户，累计发放金额220余万元。</w:t>
      </w:r>
      <w:r>
        <w:rPr>
          <w:rFonts w:hint="eastAsia"/>
          <w:sz w:val="28"/>
          <w:szCs w:val="28"/>
          <w:lang w:eastAsia="zh-CN"/>
        </w:rPr>
        <w:t>街道享受护理补贴</w:t>
      </w:r>
      <w:r>
        <w:rPr>
          <w:rFonts w:hint="eastAsia"/>
          <w:sz w:val="28"/>
          <w:szCs w:val="28"/>
          <w:lang w:val="en-US" w:eastAsia="zh-CN"/>
        </w:rPr>
        <w:t>214人，生活补贴146人，共放发金额34万余元。</w:t>
      </w:r>
      <w:r>
        <w:rPr>
          <w:rFonts w:hint="eastAsia"/>
          <w:sz w:val="28"/>
          <w:szCs w:val="28"/>
        </w:rPr>
        <w:t>街道发放高龄补贴</w:t>
      </w:r>
      <w:r>
        <w:rPr>
          <w:rFonts w:hint="eastAsia"/>
          <w:sz w:val="28"/>
          <w:szCs w:val="28"/>
          <w:lang w:val="en-US" w:eastAsia="zh-CN"/>
        </w:rPr>
        <w:t>93</w:t>
      </w:r>
      <w:r>
        <w:rPr>
          <w:rFonts w:hint="eastAsia"/>
          <w:sz w:val="28"/>
          <w:szCs w:val="28"/>
        </w:rPr>
        <w:t>人，发放金额高达</w:t>
      </w:r>
      <w:r>
        <w:rPr>
          <w:rFonts w:hint="eastAsia"/>
          <w:sz w:val="28"/>
          <w:szCs w:val="28"/>
          <w:lang w:val="en-US" w:eastAsia="zh-CN"/>
        </w:rPr>
        <w:t>11万余</w:t>
      </w:r>
      <w:r>
        <w:rPr>
          <w:rFonts w:hint="eastAsia"/>
          <w:sz w:val="28"/>
          <w:szCs w:val="28"/>
        </w:rPr>
        <w:t>元。加强孤儿</w:t>
      </w:r>
      <w:r>
        <w:rPr>
          <w:rFonts w:hint="eastAsia"/>
          <w:sz w:val="28"/>
          <w:szCs w:val="28"/>
          <w:lang w:val="en-US" w:eastAsia="zh-CN"/>
        </w:rPr>
        <w:t>和事实孤儿</w:t>
      </w:r>
      <w:r>
        <w:rPr>
          <w:rFonts w:hint="eastAsia"/>
          <w:sz w:val="28"/>
          <w:szCs w:val="28"/>
        </w:rPr>
        <w:t>申报和管理</w:t>
      </w:r>
      <w:r>
        <w:rPr>
          <w:rFonts w:hint="eastAsia"/>
          <w:sz w:val="28"/>
          <w:szCs w:val="28"/>
          <w:lang w:eastAsia="zh-CN"/>
        </w:rPr>
        <w:t>，辖区事实孤儿</w:t>
      </w:r>
      <w:r>
        <w:rPr>
          <w:rFonts w:hint="eastAsia"/>
          <w:sz w:val="28"/>
          <w:szCs w:val="28"/>
          <w:lang w:val="en-US" w:eastAsia="zh-CN"/>
        </w:rPr>
        <w:t>6名，发放资金8万余元</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二是</w:t>
      </w:r>
      <w:r>
        <w:rPr>
          <w:rFonts w:hint="eastAsia" w:ascii="仿宋" w:hAnsi="仿宋" w:eastAsia="仿宋" w:cs="仿宋"/>
          <w:b/>
          <w:bCs/>
          <w:color w:val="000000"/>
          <w:sz w:val="32"/>
          <w:szCs w:val="32"/>
        </w:rPr>
        <w:t>做好退役军人保障工作。</w:t>
      </w:r>
      <w:r>
        <w:rPr>
          <w:rFonts w:hint="eastAsia" w:ascii="仿宋" w:hAnsi="仿宋" w:eastAsia="仿宋" w:cs="仿宋"/>
          <w:b w:val="0"/>
          <w:bCs w:val="0"/>
          <w:color w:val="000000"/>
          <w:sz w:val="32"/>
          <w:szCs w:val="32"/>
          <w:lang w:val="en-US" w:eastAsia="zh-CN"/>
        </w:rPr>
        <w:t>目前，</w:t>
      </w:r>
      <w:r>
        <w:rPr>
          <w:rFonts w:hint="eastAsia" w:ascii="仿宋" w:hAnsi="仿宋" w:eastAsia="仿宋"/>
          <w:color w:val="000000"/>
          <w:sz w:val="30"/>
          <w:szCs w:val="30"/>
          <w:shd w:val="clear" w:color="auto" w:fill="auto"/>
        </w:rPr>
        <w:t>百春园街道现有退役军人</w:t>
      </w:r>
      <w:r>
        <w:rPr>
          <w:rFonts w:hint="eastAsia" w:ascii="仿宋" w:hAnsi="仿宋" w:eastAsia="仿宋"/>
          <w:color w:val="000000"/>
          <w:sz w:val="30"/>
          <w:szCs w:val="30"/>
          <w:shd w:val="clear" w:color="auto" w:fill="auto"/>
          <w:lang w:val="en-US" w:eastAsia="zh-CN"/>
        </w:rPr>
        <w:t>1904</w:t>
      </w:r>
      <w:r>
        <w:rPr>
          <w:rFonts w:hint="eastAsia" w:ascii="仿宋" w:hAnsi="仿宋" w:eastAsia="仿宋"/>
          <w:color w:val="000000"/>
          <w:sz w:val="30"/>
          <w:szCs w:val="30"/>
          <w:shd w:val="clear" w:color="auto" w:fill="auto"/>
        </w:rPr>
        <w:t>人，现役军人</w:t>
      </w:r>
      <w:r>
        <w:rPr>
          <w:rFonts w:hint="eastAsia" w:ascii="仿宋" w:hAnsi="仿宋" w:eastAsia="仿宋"/>
          <w:color w:val="000000"/>
          <w:sz w:val="30"/>
          <w:szCs w:val="30"/>
          <w:shd w:val="clear" w:color="auto" w:fill="auto"/>
          <w:lang w:val="en-US" w:eastAsia="zh-CN"/>
        </w:rPr>
        <w:t>75</w:t>
      </w:r>
      <w:r>
        <w:rPr>
          <w:rFonts w:hint="eastAsia" w:ascii="仿宋" w:hAnsi="仿宋" w:eastAsia="仿宋"/>
          <w:color w:val="000000"/>
          <w:sz w:val="30"/>
          <w:szCs w:val="30"/>
          <w:shd w:val="clear" w:color="auto" w:fill="auto"/>
        </w:rPr>
        <w:t>人，共</w:t>
      </w:r>
      <w:r>
        <w:rPr>
          <w:rFonts w:hint="eastAsia" w:ascii="仿宋" w:hAnsi="仿宋" w:eastAsia="仿宋"/>
          <w:color w:val="000000"/>
          <w:sz w:val="30"/>
          <w:szCs w:val="30"/>
          <w:shd w:val="clear" w:color="auto" w:fill="auto"/>
          <w:lang w:val="en-US" w:eastAsia="zh-CN"/>
        </w:rPr>
        <w:t>1979</w:t>
      </w:r>
      <w:r>
        <w:rPr>
          <w:rFonts w:hint="eastAsia" w:ascii="仿宋" w:hAnsi="仿宋" w:eastAsia="仿宋"/>
          <w:color w:val="000000"/>
          <w:sz w:val="30"/>
          <w:szCs w:val="30"/>
          <w:shd w:val="clear" w:color="auto" w:fill="auto"/>
        </w:rPr>
        <w:t>人；街道退役军人5</w:t>
      </w:r>
      <w:r>
        <w:rPr>
          <w:rFonts w:hint="eastAsia" w:ascii="仿宋" w:hAnsi="仿宋" w:eastAsia="仿宋"/>
          <w:color w:val="000000"/>
          <w:sz w:val="30"/>
          <w:szCs w:val="30"/>
          <w:shd w:val="clear" w:color="auto" w:fill="auto"/>
          <w:lang w:val="en-US" w:eastAsia="zh-CN"/>
        </w:rPr>
        <w:t>0</w:t>
      </w:r>
      <w:r>
        <w:rPr>
          <w:rFonts w:hint="eastAsia" w:ascii="仿宋" w:hAnsi="仿宋" w:eastAsia="仿宋"/>
          <w:color w:val="000000"/>
          <w:sz w:val="30"/>
          <w:szCs w:val="30"/>
          <w:shd w:val="clear" w:color="auto" w:fill="auto"/>
        </w:rPr>
        <w:t>人,享受政策的优抚对象共有</w:t>
      </w:r>
      <w:r>
        <w:rPr>
          <w:rFonts w:hint="eastAsia" w:ascii="仿宋" w:hAnsi="仿宋" w:eastAsia="仿宋"/>
          <w:color w:val="000000"/>
          <w:sz w:val="30"/>
          <w:szCs w:val="30"/>
          <w:shd w:val="clear" w:color="auto" w:fill="auto"/>
          <w:lang w:val="en-US" w:eastAsia="zh-CN"/>
        </w:rPr>
        <w:t>147</w:t>
      </w:r>
      <w:r>
        <w:rPr>
          <w:rFonts w:hint="eastAsia" w:ascii="仿宋" w:hAnsi="仿宋" w:eastAsia="仿宋"/>
          <w:color w:val="000000"/>
          <w:sz w:val="30"/>
          <w:szCs w:val="30"/>
          <w:shd w:val="clear" w:color="auto" w:fill="auto"/>
        </w:rPr>
        <w:t>人，其中60岁</w:t>
      </w:r>
      <w:r>
        <w:rPr>
          <w:shd w:val="clear" w:color="auto" w:fill="auto"/>
        </w:rPr>
        <w:fldChar w:fldCharType="begin"/>
      </w:r>
      <w:r>
        <w:rPr>
          <w:shd w:val="clear" w:color="auto" w:fill="auto"/>
        </w:rPr>
        <w:instrText xml:space="preserve"> HYPERLINK "http://www.wm114.cn/wen/nongye" </w:instrText>
      </w:r>
      <w:r>
        <w:rPr>
          <w:shd w:val="clear" w:color="auto" w:fill="auto"/>
        </w:rPr>
        <w:fldChar w:fldCharType="separate"/>
      </w:r>
      <w:r>
        <w:rPr>
          <w:rStyle w:val="10"/>
          <w:rFonts w:hint="eastAsia" w:ascii="仿宋" w:hAnsi="仿宋" w:eastAsia="仿宋"/>
          <w:b w:val="0"/>
          <w:color w:val="333333"/>
          <w:sz w:val="30"/>
          <w:szCs w:val="30"/>
          <w:shd w:val="clear" w:color="auto" w:fill="auto"/>
        </w:rPr>
        <w:t>农村</w:t>
      </w:r>
      <w:r>
        <w:rPr>
          <w:rStyle w:val="10"/>
          <w:rFonts w:hint="eastAsia" w:ascii="仿宋" w:hAnsi="仿宋" w:eastAsia="仿宋"/>
          <w:b w:val="0"/>
          <w:color w:val="333333"/>
          <w:sz w:val="30"/>
          <w:szCs w:val="30"/>
          <w:shd w:val="clear" w:color="auto" w:fill="auto"/>
        </w:rPr>
        <w:fldChar w:fldCharType="end"/>
      </w:r>
      <w:r>
        <w:rPr>
          <w:rFonts w:hint="eastAsia" w:ascii="仿宋" w:hAnsi="仿宋" w:eastAsia="仿宋"/>
          <w:color w:val="000000"/>
          <w:sz w:val="30"/>
          <w:szCs w:val="30"/>
          <w:shd w:val="clear" w:color="auto" w:fill="auto"/>
        </w:rPr>
        <w:t>退役士兵</w:t>
      </w:r>
      <w:r>
        <w:rPr>
          <w:rFonts w:hint="eastAsia" w:ascii="仿宋" w:hAnsi="仿宋" w:eastAsia="仿宋"/>
          <w:color w:val="000000"/>
          <w:sz w:val="30"/>
          <w:szCs w:val="30"/>
          <w:shd w:val="clear" w:color="auto" w:fill="auto"/>
          <w:lang w:val="en-US" w:eastAsia="zh-CN"/>
        </w:rPr>
        <w:t>41</w:t>
      </w:r>
      <w:r>
        <w:rPr>
          <w:rFonts w:hint="eastAsia" w:ascii="仿宋" w:hAnsi="仿宋" w:eastAsia="仿宋"/>
          <w:color w:val="000000"/>
          <w:sz w:val="30"/>
          <w:szCs w:val="30"/>
          <w:shd w:val="clear" w:color="auto" w:fill="auto"/>
        </w:rPr>
        <w:t>人；重点优抚对象</w:t>
      </w:r>
      <w:r>
        <w:rPr>
          <w:rFonts w:hint="eastAsia" w:ascii="仿宋" w:hAnsi="仿宋" w:eastAsia="仿宋"/>
          <w:color w:val="000000"/>
          <w:sz w:val="30"/>
          <w:szCs w:val="30"/>
          <w:shd w:val="clear" w:color="auto" w:fill="auto"/>
          <w:lang w:val="en-US" w:eastAsia="zh-CN"/>
        </w:rPr>
        <w:t>106</w:t>
      </w:r>
      <w:r>
        <w:rPr>
          <w:rFonts w:hint="eastAsia" w:ascii="仿宋" w:hAnsi="仿宋" w:eastAsia="仿宋"/>
          <w:color w:val="000000"/>
          <w:sz w:val="30"/>
          <w:szCs w:val="30"/>
          <w:shd w:val="clear" w:color="auto" w:fill="auto"/>
        </w:rPr>
        <w:t>人，重点优抚对象中在职伤残</w:t>
      </w:r>
      <w:r>
        <w:rPr>
          <w:shd w:val="clear" w:color="auto" w:fill="auto"/>
        </w:rPr>
        <w:fldChar w:fldCharType="begin"/>
      </w:r>
      <w:r>
        <w:rPr>
          <w:shd w:val="clear" w:color="auto" w:fill="auto"/>
        </w:rPr>
        <w:instrText xml:space="preserve"> HYPERLINK "http://www.wm114.cn/wen/154/307900.html" </w:instrText>
      </w:r>
      <w:r>
        <w:rPr>
          <w:shd w:val="clear" w:color="auto" w:fill="auto"/>
        </w:rPr>
        <w:fldChar w:fldCharType="separate"/>
      </w:r>
      <w:r>
        <w:rPr>
          <w:rStyle w:val="10"/>
          <w:rFonts w:hint="eastAsia" w:ascii="仿宋" w:hAnsi="仿宋" w:eastAsia="仿宋"/>
          <w:b w:val="0"/>
          <w:color w:val="333333"/>
          <w:sz w:val="30"/>
          <w:szCs w:val="30"/>
          <w:shd w:val="clear" w:color="auto" w:fill="auto"/>
        </w:rPr>
        <w:t>军人</w:t>
      </w:r>
      <w:r>
        <w:rPr>
          <w:rStyle w:val="10"/>
          <w:rFonts w:hint="eastAsia" w:ascii="仿宋" w:hAnsi="仿宋" w:eastAsia="仿宋"/>
          <w:b w:val="0"/>
          <w:color w:val="333333"/>
          <w:sz w:val="30"/>
          <w:szCs w:val="30"/>
          <w:shd w:val="clear" w:color="auto" w:fill="auto"/>
        </w:rPr>
        <w:fldChar w:fldCharType="end"/>
      </w:r>
      <w:r>
        <w:rPr>
          <w:rFonts w:hint="eastAsia" w:ascii="仿宋" w:hAnsi="仿宋" w:eastAsia="仿宋"/>
          <w:color w:val="000000"/>
          <w:sz w:val="30"/>
          <w:szCs w:val="30"/>
          <w:shd w:val="clear" w:color="auto" w:fill="auto"/>
          <w:lang w:val="en-US" w:eastAsia="zh-CN"/>
        </w:rPr>
        <w:t>27</w:t>
      </w:r>
      <w:r>
        <w:rPr>
          <w:rFonts w:hint="eastAsia" w:ascii="仿宋" w:hAnsi="仿宋" w:eastAsia="仿宋"/>
          <w:color w:val="000000"/>
          <w:sz w:val="30"/>
          <w:szCs w:val="30"/>
          <w:shd w:val="clear" w:color="auto" w:fill="auto"/>
        </w:rPr>
        <w:t>人，伤残军人</w:t>
      </w:r>
      <w:r>
        <w:rPr>
          <w:rFonts w:hint="eastAsia" w:ascii="仿宋" w:hAnsi="仿宋" w:eastAsia="仿宋"/>
          <w:color w:val="000000"/>
          <w:sz w:val="30"/>
          <w:szCs w:val="30"/>
          <w:shd w:val="clear" w:color="auto" w:fill="auto"/>
          <w:lang w:val="en-US" w:eastAsia="zh-CN"/>
        </w:rPr>
        <w:t>37</w:t>
      </w:r>
      <w:r>
        <w:rPr>
          <w:rFonts w:hint="eastAsia" w:ascii="仿宋" w:hAnsi="仿宋" w:eastAsia="仿宋"/>
          <w:color w:val="000000"/>
          <w:sz w:val="30"/>
          <w:szCs w:val="30"/>
          <w:shd w:val="clear" w:color="auto" w:fill="auto"/>
        </w:rPr>
        <w:t>人，三属</w:t>
      </w:r>
      <w:r>
        <w:rPr>
          <w:rFonts w:hint="eastAsia" w:ascii="仿宋" w:hAnsi="仿宋" w:eastAsia="仿宋"/>
          <w:color w:val="000000"/>
          <w:sz w:val="30"/>
          <w:szCs w:val="30"/>
          <w:shd w:val="clear" w:color="auto" w:fill="auto"/>
          <w:lang w:val="en-US" w:eastAsia="zh-CN"/>
        </w:rPr>
        <w:t>2</w:t>
      </w:r>
      <w:r>
        <w:rPr>
          <w:rFonts w:hint="eastAsia" w:ascii="仿宋" w:hAnsi="仿宋" w:eastAsia="仿宋"/>
          <w:color w:val="000000"/>
          <w:sz w:val="30"/>
          <w:szCs w:val="30"/>
          <w:shd w:val="clear" w:color="auto" w:fill="auto"/>
        </w:rPr>
        <w:t>人，带病回乡军人</w:t>
      </w:r>
      <w:r>
        <w:rPr>
          <w:rFonts w:hint="eastAsia" w:ascii="仿宋" w:hAnsi="仿宋" w:eastAsia="仿宋"/>
          <w:color w:val="000000"/>
          <w:sz w:val="30"/>
          <w:szCs w:val="30"/>
          <w:shd w:val="clear" w:color="auto" w:fill="auto"/>
          <w:lang w:val="en-US" w:eastAsia="zh-CN"/>
        </w:rPr>
        <w:t>4</w:t>
      </w:r>
      <w:r>
        <w:rPr>
          <w:rFonts w:hint="eastAsia" w:ascii="仿宋" w:hAnsi="仿宋" w:eastAsia="仿宋"/>
          <w:color w:val="000000"/>
          <w:sz w:val="30"/>
          <w:szCs w:val="30"/>
          <w:shd w:val="clear" w:color="auto" w:fill="auto"/>
        </w:rPr>
        <w:t>人，两参人员3</w:t>
      </w:r>
      <w:r>
        <w:rPr>
          <w:rFonts w:hint="eastAsia" w:ascii="仿宋" w:hAnsi="仿宋" w:eastAsia="仿宋"/>
          <w:color w:val="000000"/>
          <w:sz w:val="30"/>
          <w:szCs w:val="30"/>
          <w:shd w:val="clear" w:color="auto" w:fill="auto"/>
          <w:lang w:val="en-US" w:eastAsia="zh-CN"/>
        </w:rPr>
        <w:t>6</w:t>
      </w:r>
      <w:r>
        <w:rPr>
          <w:rFonts w:hint="eastAsia" w:ascii="仿宋" w:hAnsi="仿宋" w:eastAsia="仿宋"/>
          <w:color w:val="000000"/>
          <w:sz w:val="30"/>
          <w:szCs w:val="30"/>
          <w:shd w:val="clear" w:color="auto" w:fill="auto"/>
        </w:rPr>
        <w:t>人</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街道</w:t>
      </w:r>
      <w:r>
        <w:rPr>
          <w:rFonts w:hint="eastAsia" w:ascii="仿宋" w:hAnsi="仿宋" w:eastAsia="仿宋" w:cs="仿宋"/>
          <w:color w:val="000000"/>
          <w:sz w:val="32"/>
          <w:szCs w:val="32"/>
        </w:rPr>
        <w:t>重点做好困难退役军人及其他优抚对象家庭统计工作，及时宣传落实优抚对象抚恤补助以及退役军人相关政策，并发放1300余块光荣之家牌匾。</w:t>
      </w:r>
      <w:r>
        <w:rPr>
          <w:rFonts w:hint="eastAsia" w:ascii="仿宋" w:hAnsi="仿宋" w:eastAsia="仿宋" w:cs="仿宋"/>
          <w:b/>
          <w:bCs/>
          <w:sz w:val="32"/>
          <w:szCs w:val="32"/>
          <w:lang w:val="en-US" w:eastAsia="zh-CN"/>
        </w:rPr>
        <w:t>三是</w:t>
      </w:r>
      <w:r>
        <w:rPr>
          <w:rFonts w:hint="eastAsia" w:ascii="仿宋" w:hAnsi="仿宋" w:eastAsia="仿宋" w:cs="仿宋"/>
          <w:b/>
          <w:bCs/>
          <w:kern w:val="0"/>
          <w:sz w:val="32"/>
          <w:szCs w:val="32"/>
        </w:rPr>
        <w:t>扎实开展卫生和计划生育工作。</w:t>
      </w:r>
      <w:r>
        <w:rPr>
          <w:rFonts w:hint="eastAsia" w:ascii="仿宋" w:hAnsi="仿宋" w:eastAsia="仿宋" w:cs="仿宋"/>
          <w:sz w:val="32"/>
          <w:szCs w:val="32"/>
          <w:lang w:val="en-US" w:eastAsia="zh-CN"/>
        </w:rPr>
        <w:t>2022年街道全年人口出生187人，共办理了生育服务登记111条，独生子女父母奖励新增21人，合计129人，独生子女保健费13人。</w:t>
      </w:r>
    </w:p>
    <w:p w14:paraId="337570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楷体" w:hAnsi="楷体" w:eastAsia="楷体" w:cs="楷体"/>
          <w:b/>
          <w:bCs/>
          <w:sz w:val="32"/>
          <w:szCs w:val="32"/>
          <w:lang w:val="en-US" w:eastAsia="zh-CN"/>
        </w:rPr>
        <w:t>（六）文明创建有特色。</w:t>
      </w:r>
      <w:r>
        <w:rPr>
          <w:rFonts w:hint="eastAsia" w:ascii="仿宋" w:hAnsi="仿宋" w:eastAsia="仿宋" w:cs="仿宋"/>
          <w:sz w:val="32"/>
          <w:szCs w:val="32"/>
          <w:lang w:val="en-US" w:eastAsia="zh-CN"/>
        </w:rPr>
        <w:t>今年以来，我街道牢牢把握精神文明创建工作规律，尊重群众的主体地位和首创精神，全力着眼提升市民文明素质、城市文明程度、城市文化品位、群众生活质量。</w:t>
      </w:r>
      <w:r>
        <w:rPr>
          <w:rFonts w:hint="eastAsia" w:ascii="仿宋" w:hAnsi="仿宋" w:eastAsia="仿宋" w:cs="仿宋"/>
          <w:b/>
          <w:bCs/>
          <w:sz w:val="32"/>
          <w:szCs w:val="32"/>
          <w:lang w:val="en-US" w:eastAsia="zh-CN"/>
        </w:rPr>
        <w:t>一是对标对表落实标准。</w:t>
      </w:r>
      <w:r>
        <w:rPr>
          <w:rFonts w:hint="eastAsia" w:ascii="仿宋" w:hAnsi="仿宋" w:eastAsia="仿宋" w:cs="仿宋"/>
          <w:b w:val="0"/>
          <w:bCs w:val="0"/>
          <w:sz w:val="32"/>
          <w:szCs w:val="32"/>
          <w:lang w:val="en-US" w:eastAsia="zh-CN"/>
        </w:rPr>
        <w:t>街道每月召开至少一次的调度会议，调度创文工作。创文办深入研究测评体系标准，严格按照要求来开展工作。积极开展各类活动。</w:t>
      </w:r>
      <w:r>
        <w:rPr>
          <w:rFonts w:hint="eastAsia" w:ascii="仿宋" w:hAnsi="仿宋" w:eastAsia="仿宋" w:cs="仿宋"/>
          <w:b/>
          <w:bCs/>
          <w:sz w:val="32"/>
          <w:szCs w:val="32"/>
          <w:lang w:val="en-US" w:eastAsia="zh-CN"/>
        </w:rPr>
        <w:t>二是开展志愿活动。</w:t>
      </w:r>
      <w:r>
        <w:rPr>
          <w:rFonts w:hint="eastAsia" w:ascii="仿宋" w:hAnsi="仿宋" w:eastAsia="仿宋" w:cs="仿宋"/>
          <w:b w:val="0"/>
          <w:bCs w:val="0"/>
          <w:sz w:val="32"/>
          <w:szCs w:val="32"/>
          <w:lang w:val="en-US" w:eastAsia="zh-CN"/>
        </w:rPr>
        <w:t>目前，街道和社区公职人员已100%注册成为志愿者，并积极发动有意愿、有能力参加志愿服务的群众加入志愿服务队伍。志愿服务队常态化、制度化开展志愿服务活动。</w:t>
      </w:r>
      <w:r>
        <w:rPr>
          <w:rFonts w:hint="eastAsia" w:ascii="仿宋" w:hAnsi="仿宋" w:eastAsia="仿宋" w:cs="仿宋"/>
          <w:b/>
          <w:bCs/>
          <w:sz w:val="32"/>
          <w:szCs w:val="32"/>
          <w:lang w:val="en-US" w:eastAsia="zh-CN"/>
        </w:rPr>
        <w:t>三是开展丰富多样的新时代文明实践活动。</w:t>
      </w:r>
      <w:r>
        <w:rPr>
          <w:rFonts w:hint="eastAsia" w:ascii="仿宋" w:hAnsi="仿宋" w:eastAsia="仿宋" w:cs="仿宋"/>
          <w:b w:val="0"/>
          <w:bCs w:val="0"/>
          <w:sz w:val="32"/>
          <w:szCs w:val="32"/>
          <w:lang w:val="en-US" w:eastAsia="zh-CN"/>
        </w:rPr>
        <w:t>例如，开展元宵节活动、华夏田园小区七一文艺汇演、消防安全知识科普活动、禁毒宣传教育活动等等。</w:t>
      </w:r>
      <w:r>
        <w:rPr>
          <w:rFonts w:hint="eastAsia" w:ascii="仿宋" w:hAnsi="仿宋" w:eastAsia="仿宋" w:cs="仿宋"/>
          <w:b/>
          <w:bCs/>
          <w:sz w:val="32"/>
          <w:szCs w:val="32"/>
          <w:lang w:val="en-US" w:eastAsia="zh-CN"/>
        </w:rPr>
        <w:t>四是广泛发动宣传。</w:t>
      </w:r>
      <w:r>
        <w:rPr>
          <w:rFonts w:hint="eastAsia" w:ascii="仿宋" w:hAnsi="仿宋" w:eastAsia="仿宋" w:cs="仿宋"/>
          <w:b w:val="0"/>
          <w:bCs w:val="0"/>
          <w:sz w:val="32"/>
          <w:szCs w:val="32"/>
          <w:lang w:val="en-US" w:eastAsia="zh-CN"/>
        </w:rPr>
        <w:t>组织全体街居干部深入开展“敲门行动”10余次，发放创文资料万余份。对各主次干道、公共广场、公园等公共场所类的广告宣传栏，合理安排布局，全面更新了道德模范、公勺公筷、等主题公益广告，营造浓厚的创文氛围。</w:t>
      </w:r>
    </w:p>
    <w:p w14:paraId="6FE1424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 w:cs="仿宋_GB2312"/>
          <w:b w:val="0"/>
          <w:bCs w:val="0"/>
          <w:sz w:val="32"/>
          <w:szCs w:val="32"/>
          <w:lang w:val="en-US" w:eastAsia="zh-CN"/>
        </w:rPr>
      </w:pPr>
      <w:r>
        <w:rPr>
          <w:rFonts w:hint="eastAsia" w:ascii="楷体" w:hAnsi="楷体" w:eastAsia="楷体" w:cs="楷体"/>
          <w:b/>
          <w:bCs/>
          <w:sz w:val="32"/>
          <w:szCs w:val="32"/>
          <w:lang w:val="en-US" w:eastAsia="zh-CN"/>
        </w:rPr>
        <w:t>（七）队伍建设有成效。</w:t>
      </w:r>
      <w:r>
        <w:rPr>
          <w:rFonts w:hint="eastAsia" w:ascii="仿宋" w:hAnsi="仿宋" w:eastAsia="仿宋" w:cs="仿宋"/>
          <w:sz w:val="32"/>
          <w:szCs w:val="32"/>
          <w:lang w:val="en-US" w:eastAsia="zh-CN"/>
        </w:rPr>
        <w:t>今年以来，我街道牢牢把握干部管理关键环节，激发了更加强劲、更为持久的内生动力。</w:t>
      </w:r>
      <w:r>
        <w:rPr>
          <w:rFonts w:hint="eastAsia" w:ascii="仿宋" w:hAnsi="仿宋" w:eastAsia="仿宋" w:cs="仿宋"/>
          <w:b/>
          <w:bCs/>
          <w:sz w:val="32"/>
          <w:szCs w:val="32"/>
          <w:lang w:val="en-US" w:eastAsia="zh-CN"/>
        </w:rPr>
        <w:t>一是开展党风廉政教育，履行党风廉政责任。</w:t>
      </w:r>
      <w:r>
        <w:rPr>
          <w:rFonts w:hint="eastAsia" w:ascii="仿宋" w:hAnsi="仿宋" w:eastAsia="仿宋" w:cs="仿宋"/>
          <w:sz w:val="30"/>
          <w:szCs w:val="30"/>
          <w:lang w:eastAsia="zh-CN"/>
        </w:rPr>
        <w:t>扎实</w:t>
      </w:r>
      <w:r>
        <w:rPr>
          <w:rFonts w:hint="eastAsia" w:ascii="仿宋" w:hAnsi="仿宋" w:eastAsia="仿宋" w:cs="仿宋"/>
          <w:sz w:val="30"/>
          <w:szCs w:val="30"/>
        </w:rPr>
        <w:t>开展“</w:t>
      </w:r>
      <w:r>
        <w:rPr>
          <w:rFonts w:hint="eastAsia" w:ascii="仿宋" w:hAnsi="仿宋" w:eastAsia="仿宋" w:cs="仿宋"/>
          <w:sz w:val="30"/>
          <w:szCs w:val="30"/>
          <w:lang w:eastAsia="zh-CN"/>
        </w:rPr>
        <w:t>清</w:t>
      </w:r>
      <w:r>
        <w:rPr>
          <w:rFonts w:hint="eastAsia" w:ascii="仿宋" w:hAnsi="仿宋" w:eastAsia="仿宋" w:cs="仿宋"/>
          <w:sz w:val="30"/>
          <w:szCs w:val="30"/>
        </w:rPr>
        <w:t>廉</w:t>
      </w:r>
      <w:r>
        <w:rPr>
          <w:rFonts w:hint="eastAsia" w:ascii="仿宋" w:hAnsi="仿宋" w:eastAsia="仿宋" w:cs="仿宋"/>
          <w:sz w:val="30"/>
          <w:szCs w:val="30"/>
          <w:lang w:eastAsia="zh-CN"/>
        </w:rPr>
        <w:t>街道</w:t>
      </w:r>
      <w:r>
        <w:rPr>
          <w:rFonts w:hint="eastAsia" w:ascii="仿宋" w:hAnsi="仿宋" w:eastAsia="仿宋" w:cs="仿宋"/>
          <w:sz w:val="30"/>
          <w:szCs w:val="30"/>
        </w:rPr>
        <w:t>”建</w:t>
      </w:r>
      <w:r>
        <w:rPr>
          <w:rFonts w:hint="eastAsia" w:ascii="仿宋" w:hAnsi="仿宋" w:eastAsia="仿宋" w:cs="仿宋"/>
          <w:sz w:val="30"/>
          <w:szCs w:val="30"/>
          <w:lang w:eastAsia="zh-CN"/>
        </w:rPr>
        <w:t>设</w:t>
      </w:r>
      <w:r>
        <w:rPr>
          <w:rFonts w:hint="eastAsia" w:ascii="仿宋" w:hAnsi="仿宋" w:eastAsia="仿宋" w:cs="仿宋"/>
          <w:sz w:val="30"/>
          <w:szCs w:val="30"/>
        </w:rPr>
        <w:t>工作</w:t>
      </w:r>
      <w:r>
        <w:rPr>
          <w:rFonts w:hint="eastAsia" w:ascii="仿宋" w:hAnsi="仿宋" w:eastAsia="仿宋" w:cs="仿宋"/>
          <w:sz w:val="30"/>
          <w:szCs w:val="30"/>
          <w:lang w:eastAsia="zh-CN"/>
        </w:rPr>
        <w:t>。</w:t>
      </w:r>
      <w:r>
        <w:rPr>
          <w:rFonts w:hint="eastAsia" w:ascii="仿宋" w:hAnsi="仿宋" w:eastAsia="仿宋" w:cs="仿宋"/>
          <w:sz w:val="30"/>
          <w:szCs w:val="30"/>
        </w:rPr>
        <w:t>街道政务大厅</w:t>
      </w:r>
      <w:r>
        <w:rPr>
          <w:rFonts w:hint="eastAsia" w:ascii="仿宋" w:hAnsi="仿宋" w:eastAsia="仿宋" w:cs="仿宋"/>
          <w:sz w:val="30"/>
          <w:szCs w:val="30"/>
          <w:lang w:val="en-US" w:eastAsia="zh-CN"/>
        </w:rPr>
        <w:t>今年被评为全省清廉大厅，街道一楼大厅</w:t>
      </w:r>
      <w:r>
        <w:rPr>
          <w:rFonts w:hint="eastAsia" w:ascii="仿宋" w:hAnsi="仿宋" w:eastAsia="仿宋" w:cs="仿宋"/>
          <w:sz w:val="30"/>
          <w:szCs w:val="30"/>
        </w:rPr>
        <w:t>坚持清廉创建与以案促改相结合。坚持把清廉作为深化以案促改的有力抓手，推动“三不”一体推进、深化标本兼治不断走深走实。</w:t>
      </w:r>
      <w:r>
        <w:rPr>
          <w:rFonts w:hint="eastAsia" w:ascii="仿宋" w:hAnsi="仿宋" w:eastAsia="仿宋" w:cs="仿宋"/>
          <w:sz w:val="30"/>
          <w:szCs w:val="30"/>
          <w:lang w:val="en-US" w:eastAsia="zh-CN"/>
        </w:rPr>
        <w:t>大力</w:t>
      </w:r>
      <w:r>
        <w:rPr>
          <w:rFonts w:hint="eastAsia" w:ascii="仿宋" w:hAnsi="仿宋" w:eastAsia="仿宋" w:cs="仿宋"/>
          <w:b w:val="0"/>
          <w:bCs w:val="0"/>
          <w:sz w:val="30"/>
          <w:szCs w:val="30"/>
        </w:rPr>
        <w:t>开展廉洁党课教育、警示教育活</w:t>
      </w:r>
      <w:r>
        <w:rPr>
          <w:rFonts w:hint="eastAsia" w:ascii="仿宋" w:hAnsi="仿宋" w:eastAsia="仿宋" w:cs="仿宋"/>
          <w:sz w:val="30"/>
          <w:szCs w:val="30"/>
        </w:rPr>
        <w:t>动</w:t>
      </w:r>
      <w:r>
        <w:rPr>
          <w:rFonts w:hint="eastAsia" w:ascii="仿宋" w:hAnsi="仿宋" w:eastAsia="仿宋" w:cs="仿宋"/>
          <w:sz w:val="30"/>
          <w:szCs w:val="30"/>
          <w:lang w:eastAsia="zh-CN"/>
        </w:rPr>
        <w:t>，</w:t>
      </w:r>
      <w:r>
        <w:rPr>
          <w:rFonts w:hint="eastAsia" w:ascii="仿宋" w:hAnsi="仿宋" w:eastAsia="仿宋" w:cs="仿宋"/>
          <w:b w:val="0"/>
          <w:bCs w:val="0"/>
          <w:sz w:val="32"/>
          <w:szCs w:val="32"/>
          <w:lang w:val="en-US" w:eastAsia="zh-CN"/>
        </w:rPr>
        <w:t>2023年，为本单位机关支部党员上廉洁党课2次，并利用区纪委印发的典型案例教育材料，开展警示教育3次。。</w:t>
      </w:r>
      <w:r>
        <w:rPr>
          <w:rFonts w:hint="eastAsia" w:ascii="仿宋" w:hAnsi="仿宋" w:eastAsia="仿宋" w:cs="仿宋"/>
          <w:b/>
          <w:bCs/>
          <w:sz w:val="32"/>
          <w:szCs w:val="32"/>
          <w:lang w:val="en-US" w:eastAsia="zh-CN"/>
        </w:rPr>
        <w:t>二是强化干部作风纪律监督检查。</w:t>
      </w:r>
      <w:r>
        <w:rPr>
          <w:rFonts w:hint="eastAsia" w:ascii="仿宋" w:hAnsi="仿宋" w:eastAsia="仿宋" w:cs="仿宋"/>
          <w:b w:val="0"/>
          <w:bCs w:val="0"/>
          <w:sz w:val="32"/>
          <w:szCs w:val="32"/>
          <w:lang w:val="en-US" w:eastAsia="zh-CN"/>
        </w:rPr>
        <w:t>根据《大祥区干部作风建设提升年活动实施方案》和《百春园街道作风建设实施方案》，通过定期不定期随机抽查、专项检查、明察暗访等方式，重点对社区干部、机关干部在岗情况、外出公示情况、请销假情况、服务群众态度、走访群众等情况进行监督检查。</w:t>
      </w:r>
      <w:r>
        <w:rPr>
          <w:rFonts w:hint="eastAsia" w:ascii="仿宋" w:hAnsi="仿宋" w:eastAsia="仿宋" w:cs="仿宋"/>
          <w:b/>
          <w:bCs/>
          <w:sz w:val="32"/>
          <w:szCs w:val="32"/>
          <w:lang w:val="en-US" w:eastAsia="zh-CN"/>
        </w:rPr>
        <w:t>三是严肃查办案件。</w:t>
      </w:r>
      <w:r>
        <w:rPr>
          <w:rFonts w:hint="eastAsia" w:ascii="仿宋" w:hAnsi="仿宋" w:eastAsia="仿宋" w:cs="仿宋"/>
          <w:b w:val="0"/>
          <w:bCs w:val="0"/>
          <w:sz w:val="32"/>
          <w:szCs w:val="32"/>
          <w:lang w:val="en-US" w:eastAsia="zh-CN"/>
        </w:rPr>
        <w:t>不断加大案件查办力度，严肃查处党员干部违法违纪行为。</w:t>
      </w:r>
      <w:r>
        <w:rPr>
          <w:rFonts w:hint="eastAsia" w:ascii="方正仿宋简体" w:hAnsi="方正仿宋简体" w:eastAsia="方正仿宋简体" w:cs="方正仿宋简体"/>
          <w:sz w:val="32"/>
          <w:szCs w:val="32"/>
          <w:lang w:val="en-US" w:eastAsia="zh-CN"/>
        </w:rPr>
        <w:t>2023</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立案3件，已办结1件，2件正在办理中。人员处理开除党籍1人，</w:t>
      </w:r>
      <w:r>
        <w:rPr>
          <w:rFonts w:hint="eastAsia" w:ascii="方正仿宋简体" w:hAnsi="方正仿宋简体" w:eastAsia="方正仿宋简体" w:cs="方正仿宋简体"/>
          <w:b w:val="0"/>
          <w:bCs w:val="0"/>
          <w:sz w:val="32"/>
          <w:szCs w:val="32"/>
          <w:lang w:eastAsia="zh-CN"/>
        </w:rPr>
        <w:t>提醒</w:t>
      </w:r>
      <w:r>
        <w:rPr>
          <w:rFonts w:hint="eastAsia" w:ascii="方正仿宋简体" w:hAnsi="方正仿宋简体" w:eastAsia="方正仿宋简体" w:cs="方正仿宋简体"/>
          <w:b w:val="0"/>
          <w:bCs w:val="0"/>
          <w:sz w:val="32"/>
          <w:szCs w:val="32"/>
        </w:rPr>
        <w:t>谈话</w:t>
      </w: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人</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批评教育</w:t>
      </w:r>
      <w:r>
        <w:rPr>
          <w:rFonts w:hint="eastAsia" w:ascii="方正仿宋简体" w:hAnsi="方正仿宋简体" w:eastAsia="方正仿宋简体" w:cs="方正仿宋简体"/>
          <w:b w:val="0"/>
          <w:bCs w:val="0"/>
          <w:sz w:val="32"/>
          <w:szCs w:val="32"/>
          <w:lang w:val="en-US" w:eastAsia="zh-CN"/>
        </w:rPr>
        <w:t>3</w:t>
      </w:r>
      <w:r>
        <w:rPr>
          <w:rFonts w:hint="eastAsia" w:ascii="方正仿宋简体" w:hAnsi="方正仿宋简体" w:eastAsia="方正仿宋简体" w:cs="方正仿宋简体"/>
          <w:b w:val="0"/>
          <w:bCs w:val="0"/>
          <w:sz w:val="32"/>
          <w:szCs w:val="32"/>
        </w:rPr>
        <w:t>人。</w:t>
      </w:r>
      <w:r>
        <w:rPr>
          <w:rFonts w:hint="eastAsia" w:ascii="仿宋" w:hAnsi="仿宋" w:eastAsia="仿宋" w:cs="仿宋"/>
          <w:b w:val="0"/>
          <w:bCs w:val="0"/>
          <w:sz w:val="32"/>
          <w:szCs w:val="32"/>
          <w:lang w:val="en-US" w:eastAsia="zh-CN"/>
        </w:rPr>
        <w:t>。</w:t>
      </w:r>
    </w:p>
    <w:p w14:paraId="142FCAF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二、下一步工作计划和打算</w:t>
      </w:r>
    </w:p>
    <w:p w14:paraId="719CAF9A">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今年来，街道着重统筹疫情防控和经济社会发展，取得了一些进展。但也存在着一定的困难和问题，</w:t>
      </w:r>
      <w:r>
        <w:rPr>
          <w:rFonts w:hint="eastAsia" w:ascii="仿宋_GB2312" w:hAnsi="仿宋_GB2312" w:eastAsia="仿宋_GB2312" w:cs="仿宋_GB2312"/>
          <w:sz w:val="32"/>
          <w:szCs w:val="32"/>
        </w:rPr>
        <w:t>主要表现为：街道刚性支出大、财政十分紧张，信访维稳、环境保护等压力较大，干部工作作风还需改进，工作亮点不多等等。对此，我们将保持清醒认识，采取有力措施，认真加以解决。</w:t>
      </w:r>
    </w:p>
    <w:p w14:paraId="15EE4CC0">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下阶段，我们将重点抓好以下工作：</w:t>
      </w:r>
    </w:p>
    <w:p w14:paraId="74567EF6">
      <w:pPr>
        <w:pStyle w:val="12"/>
        <w:widowControl w:val="0"/>
        <w:snapToGrid w:val="0"/>
        <w:spacing w:before="0" w:beforeAutospacing="0" w:after="0" w:afterAutospacing="0" w:line="560" w:lineRule="exact"/>
        <w:ind w:firstLine="643" w:firstLineChars="200"/>
        <w:rPr>
          <w:rFonts w:hint="eastAsia" w:ascii="仿宋_GB2312" w:hAnsi="仿宋_GB2312" w:eastAsia="仿宋_GB2312" w:cs="仿宋_GB2312"/>
          <w:kern w:val="2"/>
          <w:sz w:val="32"/>
          <w:szCs w:val="32"/>
          <w:lang w:val="en-US" w:eastAsia="zh-CN" w:bidi="ar-SA"/>
        </w:rPr>
      </w:pPr>
      <w:r>
        <w:rPr>
          <w:rFonts w:hint="eastAsia" w:ascii="楷体_GB2312" w:hAnsi="仿宋_GB2312" w:eastAsia="楷体_GB2312" w:cs="仿宋_GB2312"/>
          <w:b/>
          <w:kern w:val="2"/>
          <w:sz w:val="32"/>
          <w:szCs w:val="32"/>
        </w:rPr>
        <w:t>（一）</w:t>
      </w:r>
      <w:r>
        <w:rPr>
          <w:rFonts w:hint="eastAsia" w:ascii="楷体_GB2312" w:hAnsi="仿宋_GB2312" w:eastAsia="楷体_GB2312" w:cs="仿宋_GB2312"/>
          <w:b/>
          <w:kern w:val="2"/>
          <w:sz w:val="32"/>
          <w:szCs w:val="32"/>
          <w:lang w:val="en-US" w:eastAsia="zh-CN"/>
        </w:rPr>
        <w:t>抓好经济运行</w:t>
      </w:r>
      <w:r>
        <w:rPr>
          <w:rFonts w:hint="eastAsia" w:ascii="楷体_GB2312" w:hAnsi="仿宋_GB2312" w:eastAsia="楷体_GB2312" w:cs="仿宋_GB2312"/>
          <w:b/>
          <w:kern w:val="2"/>
          <w:sz w:val="32"/>
          <w:szCs w:val="32"/>
        </w:rPr>
        <w:t>。</w:t>
      </w:r>
      <w:r>
        <w:rPr>
          <w:rFonts w:hint="eastAsia" w:ascii="仿宋_GB2312" w:hAnsi="仿宋_GB2312" w:eastAsia="仿宋_GB2312" w:cs="仿宋_GB2312"/>
          <w:kern w:val="2"/>
          <w:sz w:val="32"/>
          <w:szCs w:val="32"/>
          <w:lang w:val="en-US" w:eastAsia="zh-CN" w:bidi="ar-SA"/>
        </w:rPr>
        <w:t>我们将进一步抓好街道经济的运行质量，提高经济效益。加强和完善经济运行监测体系，做好经济运行的指导、组织工作。要积极引导重点企业认真分析市场，以开拓市场促生产经营，使经济运行的质量和效益同步增长，确保全街道经济又好又快发展。</w:t>
      </w:r>
    </w:p>
    <w:p w14:paraId="056CCE9F">
      <w:pPr>
        <w:pStyle w:val="12"/>
        <w:widowControl w:val="0"/>
        <w:snapToGrid w:val="0"/>
        <w:spacing w:before="0" w:beforeAutospacing="0" w:after="0" w:afterAutospacing="0" w:line="56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 xml:space="preserve">  </w:t>
      </w:r>
      <w:r>
        <w:rPr>
          <w:rFonts w:ascii="楷体_GB2312" w:hAnsi="仿宋_GB2312" w:eastAsia="楷体_GB2312" w:cs="仿宋_GB2312"/>
          <w:b/>
          <w:kern w:val="2"/>
          <w:sz w:val="32"/>
          <w:szCs w:val="32"/>
        </w:rPr>
        <w:t xml:space="preserve"> </w:t>
      </w:r>
      <w:r>
        <w:rPr>
          <w:rFonts w:hint="eastAsia" w:ascii="楷体_GB2312" w:hAnsi="仿宋_GB2312" w:eastAsia="楷体_GB2312" w:cs="仿宋_GB2312"/>
          <w:b/>
          <w:kern w:val="2"/>
          <w:sz w:val="32"/>
          <w:szCs w:val="32"/>
          <w:lang w:val="en-US" w:eastAsia="zh-CN"/>
        </w:rPr>
        <w:t>（二）维护社会和谐。</w:t>
      </w:r>
      <w:r>
        <w:rPr>
          <w:rFonts w:hint="eastAsia" w:ascii="仿宋_GB2312" w:hAnsi="仿宋_GB2312" w:eastAsia="仿宋_GB2312" w:cs="仿宋_GB2312"/>
          <w:kern w:val="2"/>
          <w:sz w:val="32"/>
          <w:szCs w:val="32"/>
          <w:lang w:val="en-US" w:eastAsia="zh-CN" w:bidi="ar-SA"/>
        </w:rPr>
        <w:t>继续做好疫情防控常态化工作，严格按照“防输入、防扩散、防事故”核心要求。定期开展矛盾纠纷排查，积极化解各种不稳定因素，认真解决群众合理合法的诉求。加大源头防范力度，建立健全重大突发事件应急机制，妥善处理各类突发事件。</w:t>
      </w:r>
    </w:p>
    <w:p w14:paraId="6DD9587F">
      <w:pPr>
        <w:pStyle w:val="12"/>
        <w:widowControl w:val="0"/>
        <w:snapToGrid w:val="0"/>
        <w:spacing w:before="0" w:beforeAutospacing="0" w:after="0" w:afterAutospacing="0" w:line="560" w:lineRule="exact"/>
        <w:ind w:firstLine="643" w:firstLineChars="200"/>
        <w:rPr>
          <w:rFonts w:hint="eastAsia" w:ascii="仿宋_GB2312" w:hAnsi="仿宋_GB2312" w:eastAsia="仿宋_GB2312" w:cs="仿宋_GB2312"/>
          <w:kern w:val="2"/>
          <w:sz w:val="32"/>
          <w:szCs w:val="32"/>
          <w:lang w:val="en-US" w:eastAsia="zh-CN" w:bidi="ar-SA"/>
        </w:rPr>
      </w:pPr>
      <w:r>
        <w:rPr>
          <w:rFonts w:hint="eastAsia" w:ascii="楷体_GB2312" w:hAnsi="仿宋_GB2312" w:eastAsia="楷体_GB2312" w:cs="仿宋_GB2312"/>
          <w:b/>
          <w:kern w:val="2"/>
          <w:sz w:val="32"/>
          <w:szCs w:val="32"/>
          <w:lang w:val="en-US" w:eastAsia="zh-CN"/>
        </w:rPr>
        <w:t>（三）打造宜居环境。</w:t>
      </w:r>
      <w:r>
        <w:rPr>
          <w:rFonts w:hint="eastAsia" w:ascii="仿宋_GB2312" w:hAnsi="仿宋_GB2312" w:eastAsia="仿宋_GB2312" w:cs="仿宋_GB2312"/>
          <w:kern w:val="2"/>
          <w:sz w:val="32"/>
          <w:szCs w:val="32"/>
          <w:lang w:val="en-US" w:eastAsia="zh-CN" w:bidi="ar-SA"/>
        </w:rPr>
        <w:t>全力打好环境治理持久战，积极开展四边三化整治，持续巩固强化垃圾分类撤桶并点工作，扎实推进老旧小区改造工程，突出抓好迎春路市场周边、滑石小学、百春园社区等重点部位整治，坚决遏制新增违法建设、逐步拆除存量违法建设，打造宜居幸福家园。</w:t>
      </w:r>
    </w:p>
    <w:p w14:paraId="0F3B70F3">
      <w:pPr>
        <w:pStyle w:val="12"/>
        <w:widowControl w:val="0"/>
        <w:snapToGrid w:val="0"/>
        <w:spacing w:before="0" w:beforeAutospacing="0" w:after="0" w:afterAutospacing="0" w:line="560" w:lineRule="exact"/>
        <w:ind w:firstLine="643" w:firstLineChars="200"/>
        <w:rPr>
          <w:rFonts w:hint="eastAsia" w:ascii="仿宋_GB2312" w:hAnsi="仿宋_GB2312" w:eastAsia="仿宋_GB2312" w:cs="仿宋_GB2312"/>
          <w:sz w:val="32"/>
          <w:szCs w:val="32"/>
        </w:rPr>
      </w:pPr>
      <w:r>
        <w:rPr>
          <w:rFonts w:hint="eastAsia" w:ascii="楷体_GB2312" w:hAnsi="仿宋_GB2312" w:eastAsia="楷体_GB2312" w:cs="仿宋_GB2312"/>
          <w:b/>
          <w:kern w:val="2"/>
          <w:sz w:val="32"/>
          <w:szCs w:val="32"/>
        </w:rPr>
        <w:t>（</w:t>
      </w:r>
      <w:r>
        <w:rPr>
          <w:rFonts w:hint="eastAsia" w:ascii="楷体_GB2312" w:hAnsi="仿宋_GB2312" w:eastAsia="楷体_GB2312" w:cs="仿宋_GB2312"/>
          <w:b/>
          <w:kern w:val="2"/>
          <w:sz w:val="32"/>
          <w:szCs w:val="32"/>
          <w:lang w:eastAsia="zh-CN"/>
        </w:rPr>
        <w:t>四</w:t>
      </w:r>
      <w:r>
        <w:rPr>
          <w:rFonts w:hint="eastAsia" w:ascii="楷体_GB2312" w:hAnsi="仿宋_GB2312" w:eastAsia="楷体_GB2312" w:cs="仿宋_GB2312"/>
          <w:b/>
          <w:kern w:val="2"/>
          <w:sz w:val="32"/>
          <w:szCs w:val="32"/>
        </w:rPr>
        <w:t>）</w:t>
      </w:r>
      <w:r>
        <w:rPr>
          <w:rFonts w:hint="eastAsia" w:ascii="楷体_GB2312" w:hAnsi="仿宋_GB2312" w:eastAsia="楷体_GB2312" w:cs="仿宋_GB2312"/>
          <w:b/>
          <w:kern w:val="2"/>
          <w:sz w:val="32"/>
          <w:szCs w:val="32"/>
          <w:lang w:val="en-US" w:eastAsia="zh-CN"/>
        </w:rPr>
        <w:t>加强党建引领</w:t>
      </w:r>
      <w:r>
        <w:rPr>
          <w:rFonts w:hint="eastAsia" w:ascii="楷体_GB2312" w:hAnsi="仿宋_GB2312" w:eastAsia="楷体_GB2312" w:cs="仿宋_GB2312"/>
          <w:b/>
          <w:kern w:val="2"/>
          <w:sz w:val="32"/>
          <w:szCs w:val="32"/>
        </w:rPr>
        <w:t>。</w:t>
      </w:r>
      <w:r>
        <w:rPr>
          <w:rFonts w:hint="eastAsia" w:ascii="仿宋_GB2312" w:hAnsi="仿宋_GB2312" w:eastAsia="仿宋_GB2312" w:cs="仿宋_GB2312"/>
          <w:sz w:val="32"/>
          <w:szCs w:val="32"/>
        </w:rPr>
        <w:t>树牢党建主责主业意识，健全责任分解机制，坚持把党的建设、意识形态工作和业务工作“捆”在一起抓，同谋划、同部署、同落实、同督导，把基层组织、基层队伍、基层实践作为推进党建工作的着力点来夯实</w:t>
      </w:r>
      <w:r>
        <w:rPr>
          <w:rFonts w:hint="eastAsia" w:ascii="仿宋" w:hAnsi="仿宋" w:eastAsia="仿宋" w:cs="仿宋"/>
          <w:b w:val="0"/>
          <w:bCs w:val="0"/>
          <w:sz w:val="32"/>
          <w:szCs w:val="32"/>
          <w:lang w:val="en-US" w:eastAsia="zh-CN"/>
        </w:rPr>
        <w:t>，充分发挥党组织的战斗堡垒和党员先锋模范作用，助推街道中心工作开展</w:t>
      </w:r>
      <w:r>
        <w:rPr>
          <w:rFonts w:hint="eastAsia" w:ascii="仿宋_GB2312" w:hAnsi="仿宋_GB2312" w:eastAsia="仿宋_GB2312" w:cs="仿宋_GB2312"/>
          <w:sz w:val="32"/>
          <w:szCs w:val="32"/>
        </w:rPr>
        <w:t>。</w:t>
      </w:r>
    </w:p>
    <w:p w14:paraId="44AA3DBD">
      <w:pPr>
        <w:widowControl w:val="0"/>
        <w:spacing w:line="600" w:lineRule="exact"/>
        <w:ind w:firstLine="640" w:firstLineChars="200"/>
        <w:rPr>
          <w:rFonts w:hint="eastAsia" w:ascii="黑体" w:hAnsi="黑体" w:eastAsia="黑体"/>
          <w:kern w:val="0"/>
          <w:sz w:val="32"/>
          <w:szCs w:val="32"/>
          <w:highlight w:val="white"/>
        </w:rPr>
      </w:pPr>
      <w:r>
        <w:rPr>
          <w:rFonts w:hint="eastAsia" w:ascii="黑体" w:hAnsi="黑体" w:eastAsia="黑体"/>
          <w:kern w:val="0"/>
          <w:sz w:val="32"/>
          <w:szCs w:val="32"/>
          <w:highlight w:val="white"/>
        </w:rPr>
        <w:t>三、部门整体支出绩效评价存在的问题</w:t>
      </w:r>
    </w:p>
    <w:p w14:paraId="18E1DC2A">
      <w:pPr>
        <w:pStyle w:val="11"/>
        <w:spacing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1、预算编制不够细化。</w:t>
      </w:r>
    </w:p>
    <w:p w14:paraId="21B023DF">
      <w:pPr>
        <w:pStyle w:val="11"/>
        <w:spacing w:line="600" w:lineRule="exact"/>
        <w:ind w:firstLine="640" w:firstLineChars="200"/>
        <w:rPr>
          <w:rFonts w:hint="eastAsia" w:ascii="仿宋" w:hAnsi="仿宋" w:eastAsia="仿宋"/>
          <w:sz w:val="32"/>
          <w:szCs w:val="32"/>
        </w:rPr>
      </w:pPr>
      <w:r>
        <w:rPr>
          <w:rFonts w:hint="eastAsia" w:ascii="Times New Roman" w:hAnsi="Times New Roman" w:eastAsia="仿宋_GB2312" w:cs="Times New Roman"/>
          <w:color w:val="auto"/>
          <w:sz w:val="32"/>
          <w:szCs w:val="32"/>
        </w:rPr>
        <w:t>2、</w:t>
      </w:r>
      <w:r>
        <w:rPr>
          <w:rFonts w:hint="eastAsia" w:ascii="仿宋" w:hAnsi="仿宋" w:eastAsia="仿宋"/>
          <w:sz w:val="32"/>
          <w:szCs w:val="32"/>
        </w:rPr>
        <w:t>年中有较多预算追加项目下达至街道，致使街道年初时很难对全年的整体支出规模、范围和进度等进行可靠预估及计划安排。</w:t>
      </w:r>
    </w:p>
    <w:p w14:paraId="35A8960C">
      <w:pPr>
        <w:keepNext w:val="0"/>
        <w:keepLines w:val="0"/>
        <w:pageBreakBefore w:val="0"/>
        <w:kinsoku/>
        <w:wordWrap/>
        <w:overflowPunct/>
        <w:topLinePunct w:val="0"/>
        <w:autoSpaceDE/>
        <w:autoSpaceDN/>
        <w:bidi w:val="0"/>
        <w:adjustRightInd/>
        <w:spacing w:line="560" w:lineRule="exact"/>
        <w:ind w:firstLine="796" w:firstLineChars="249"/>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部分专项资金下达时间不明确，导致部分专项资金使用不便，街道综合项目资金缺口加大等问题。</w:t>
      </w:r>
    </w:p>
    <w:p w14:paraId="76AD4041">
      <w:pPr>
        <w:pStyle w:val="11"/>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4、</w:t>
      </w:r>
      <w:r>
        <w:rPr>
          <w:rFonts w:hint="eastAsia" w:ascii="仿宋" w:hAnsi="仿宋" w:eastAsia="仿宋"/>
          <w:sz w:val="32"/>
          <w:szCs w:val="32"/>
        </w:rPr>
        <w:t>街道业务繁杂且应急，预算指标过于精细且分散，严重影响街道使用资金的效率和效益。</w:t>
      </w:r>
    </w:p>
    <w:p w14:paraId="007A5C37">
      <w:pPr>
        <w:widowControl w:val="0"/>
        <w:spacing w:line="600" w:lineRule="exact"/>
        <w:ind w:firstLine="640" w:firstLineChars="200"/>
        <w:rPr>
          <w:rFonts w:hint="eastAsia" w:ascii="黑体" w:hAnsi="黑体" w:eastAsia="黑体"/>
          <w:kern w:val="0"/>
          <w:sz w:val="32"/>
          <w:szCs w:val="32"/>
          <w:highlight w:val="white"/>
        </w:rPr>
      </w:pPr>
      <w:r>
        <w:rPr>
          <w:rFonts w:hint="eastAsia" w:ascii="黑体" w:hAnsi="黑体" w:eastAsia="黑体"/>
          <w:kern w:val="0"/>
          <w:sz w:val="32"/>
          <w:szCs w:val="32"/>
          <w:highlight w:val="white"/>
        </w:rPr>
        <w:t>四、部门整体支出绩效评价提出的改进措施和建议</w:t>
      </w:r>
    </w:p>
    <w:p w14:paraId="2390413A">
      <w:pPr>
        <w:pStyle w:val="11"/>
        <w:spacing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1、细化预算管理，提升预算编制质量，提高资金使用效益。</w:t>
      </w:r>
    </w:p>
    <w:p w14:paraId="57662296">
      <w:pPr>
        <w:pStyle w:val="11"/>
        <w:spacing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建议在年初预算安排时，将经常性和可预见性预算追加项目纳入部门年初预算，尽量减少年中预算项目的追加。</w:t>
      </w:r>
    </w:p>
    <w:p w14:paraId="159615BC">
      <w:pPr>
        <w:pStyle w:val="11"/>
        <w:spacing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、建议专项资金明确下达时间，方便街道使用，缓解街道资金压力。</w:t>
      </w:r>
    </w:p>
    <w:p w14:paraId="1169975E">
      <w:pPr>
        <w:pStyle w:val="11"/>
        <w:spacing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、建议预算指标在设置时，考虑街道情况，适当将相关指标统</w:t>
      </w:r>
      <w:r>
        <w:rPr>
          <w:rFonts w:hint="eastAsia" w:ascii="仿宋" w:hAnsi="仿宋" w:eastAsia="仿宋"/>
          <w:sz w:val="32"/>
          <w:szCs w:val="32"/>
        </w:rPr>
        <w:t>筹合并。</w:t>
      </w:r>
    </w:p>
    <w:p w14:paraId="3B17F7F7">
      <w:pPr>
        <w:pStyle w:val="11"/>
        <w:spacing w:line="600" w:lineRule="exact"/>
        <w:ind w:firstLine="480" w:firstLineChars="200"/>
      </w:pPr>
    </w:p>
    <w:p w14:paraId="2F027D1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jVmYmEzYTI2ZmU3YjVlMzUwN2Y3ZDAwNjllMTcifQ=="/>
  </w:docVars>
  <w:rsids>
    <w:rsidRoot w:val="580D1929"/>
    <w:rsid w:val="580D1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0"/>
      <w:ind w:firstLine="420" w:firstLineChars="200"/>
    </w:pPr>
    <w:rPr>
      <w:rFonts w:ascii="Calibri" w:hAnsi="Calibri"/>
    </w:r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0"/>
    <w:pPr>
      <w:ind w:firstLine="420" w:firstLineChars="200"/>
    </w:pPr>
    <w:rPr>
      <w:rFonts w:eastAsia="仿宋"/>
      <w:sz w:val="32"/>
    </w:rPr>
  </w:style>
  <w:style w:type="paragraph" w:styleId="5">
    <w:name w:val="Body Text First Indent"/>
    <w:basedOn w:val="6"/>
    <w:unhideWhenUsed/>
    <w:qFormat/>
    <w:uiPriority w:val="99"/>
    <w:pPr>
      <w:ind w:firstLine="420" w:firstLineChars="100"/>
    </w:pPr>
  </w:style>
  <w:style w:type="paragraph" w:styleId="6">
    <w:name w:val="Body Text"/>
    <w:basedOn w:val="1"/>
    <w:next w:val="1"/>
    <w:qFormat/>
    <w:uiPriority w:val="0"/>
    <w:pPr>
      <w:widowControl w:val="0"/>
      <w:jc w:val="both"/>
    </w:pPr>
    <w:rPr>
      <w:rFonts w:ascii="Calibri" w:hAnsi="Calibri" w:cs="Times New Roman"/>
      <w:kern w:val="2"/>
      <w:sz w:val="21"/>
      <w:szCs w:val="24"/>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22"/>
    <w:rPr>
      <w:b/>
      <w:bCs/>
    </w:rPr>
  </w:style>
  <w:style w:type="paragraph" w:customStyle="1" w:styleId="1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2">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2024-10-16T02:33:00Z</dcterms:created>
  <dc:creator>ASUS</dc:creator>
  <cp:lastModifiedBy>ASUS</cp:lastModifiedBy>
  <dcterms:modified xsi:type="dcterms:W3CDTF">2024-10-16T02:35:05Z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12CEEC1D473B47AB9109E4FB654099CD_11</vt:lpwstr>
  </property>
</Properties>
</file>