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40" w:lineRule="auto"/>
        <w:ind w:left="0" w:right="0" w:firstLine="0"/>
        <w:jc w:val="center"/>
        <w:rPr>
          <w:rFonts w:hint="eastAsia" w:ascii="黑体" w:hAnsi="黑体" w:eastAsia="黑体" w:cs="黑体"/>
          <w:i w:val="0"/>
          <w:caps w:val="0"/>
          <w:color w:val="000000"/>
          <w:spacing w:val="0"/>
          <w:sz w:val="36"/>
          <w:szCs w:val="36"/>
          <w:shd w:val="clear" w:fill="FFFFFF"/>
        </w:rPr>
      </w:pPr>
      <w:r>
        <w:rPr>
          <w:rFonts w:hint="eastAsia" w:ascii="黑体" w:hAnsi="黑体" w:eastAsia="黑体" w:cs="黑体"/>
          <w:i w:val="0"/>
          <w:caps w:val="0"/>
          <w:color w:val="000000"/>
          <w:spacing w:val="0"/>
          <w:sz w:val="36"/>
          <w:szCs w:val="36"/>
          <w:shd w:val="clear" w:fill="FFFFFF"/>
        </w:rPr>
        <w:t>201</w:t>
      </w:r>
      <w:r>
        <w:rPr>
          <w:rFonts w:hint="eastAsia" w:ascii="黑体" w:hAnsi="黑体" w:eastAsia="黑体" w:cs="黑体"/>
          <w:i w:val="0"/>
          <w:caps w:val="0"/>
          <w:color w:val="000000"/>
          <w:spacing w:val="0"/>
          <w:sz w:val="36"/>
          <w:szCs w:val="36"/>
          <w:shd w:val="clear" w:fill="FFFFFF"/>
          <w:lang w:val="en-US" w:eastAsia="zh-CN"/>
        </w:rPr>
        <w:t>5</w:t>
      </w:r>
      <w:bookmarkStart w:id="0" w:name="_GoBack"/>
      <w:bookmarkEnd w:id="0"/>
      <w:r>
        <w:rPr>
          <w:rFonts w:hint="eastAsia" w:ascii="黑体" w:hAnsi="黑体" w:eastAsia="黑体" w:cs="黑体"/>
          <w:i w:val="0"/>
          <w:caps w:val="0"/>
          <w:color w:val="000000"/>
          <w:spacing w:val="0"/>
          <w:sz w:val="36"/>
          <w:szCs w:val="36"/>
          <w:shd w:val="clear" w:fill="FFFFFF"/>
        </w:rPr>
        <w:t>年区城管局部门</w:t>
      </w:r>
      <w:r>
        <w:rPr>
          <w:rFonts w:hint="eastAsia" w:ascii="黑体" w:hAnsi="黑体" w:eastAsia="黑体" w:cs="黑体"/>
          <w:i w:val="0"/>
          <w:caps w:val="0"/>
          <w:color w:val="000000"/>
          <w:spacing w:val="0"/>
          <w:sz w:val="36"/>
          <w:szCs w:val="36"/>
          <w:shd w:val="clear" w:fill="FFFFFF"/>
          <w:lang w:eastAsia="zh-CN"/>
        </w:rPr>
        <w:t>决</w:t>
      </w:r>
      <w:r>
        <w:rPr>
          <w:rFonts w:hint="eastAsia" w:ascii="黑体" w:hAnsi="黑体" w:eastAsia="黑体" w:cs="黑体"/>
          <w:i w:val="0"/>
          <w:caps w:val="0"/>
          <w:color w:val="000000"/>
          <w:spacing w:val="0"/>
          <w:sz w:val="36"/>
          <w:szCs w:val="36"/>
          <w:shd w:val="clear" w:fill="FFFFFF"/>
        </w:rPr>
        <w:t>算的说明</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hanging="360"/>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Style w:val="4"/>
          <w:rFonts w:hint="eastAsia" w:ascii="黑体" w:hAnsi="黑体" w:eastAsia="黑体" w:cs="黑体"/>
          <w:i w:val="0"/>
          <w:caps w:val="0"/>
          <w:color w:val="000000" w:themeColor="text1"/>
          <w:spacing w:val="0"/>
          <w:sz w:val="32"/>
          <w:szCs w:val="32"/>
          <w:shd w:val="clear" w:fill="FFFFFF"/>
          <w:lang w:eastAsia="zh-CN"/>
          <w14:textFill>
            <w14:solidFill>
              <w14:schemeClr w14:val="tx1"/>
            </w14:solidFill>
          </w14:textFill>
        </w:rPr>
        <w:t>一、</w:t>
      </w:r>
      <w:r>
        <w:rPr>
          <w:rStyle w:val="4"/>
          <w:rFonts w:hint="eastAsia" w:ascii="黑体" w:hAnsi="黑体" w:eastAsia="黑体" w:cs="黑体"/>
          <w:i w:val="0"/>
          <w:caps w:val="0"/>
          <w:color w:val="000000" w:themeColor="text1"/>
          <w:spacing w:val="0"/>
          <w:sz w:val="32"/>
          <w:szCs w:val="32"/>
          <w:shd w:val="clear" w:fill="FFFFFF"/>
          <w14:textFill>
            <w14:solidFill>
              <w14:schemeClr w14:val="tx1"/>
            </w14:solidFill>
          </w14:textFill>
        </w:rPr>
        <w:t>基本情况</w:t>
      </w:r>
      <w:r>
        <w:rPr>
          <w:rFonts w:hint="eastAsia" w:ascii="黑体" w:hAnsi="黑体" w:eastAsia="黑体" w:cs="黑体"/>
          <w:b w:val="0"/>
          <w:i w:val="0"/>
          <w:caps w:val="0"/>
          <w:color w:val="000000" w:themeColor="text1"/>
          <w:spacing w:val="0"/>
          <w:sz w:val="32"/>
          <w:szCs w:val="32"/>
          <w:shd w:val="clear" w:fill="FFFFFF"/>
          <w14:textFill>
            <w14:solidFill>
              <w14:schemeClr w14:val="tx1"/>
            </w14:solidFill>
          </w14:textFill>
        </w:rPr>
        <w:br w:type="textWrapping"/>
      </w:r>
      <w:r>
        <w:rPr>
          <w:rFonts w:ascii="宋体" w:hAnsi="宋体" w:eastAsia="宋体" w:cs="宋体"/>
          <w:b w:val="0"/>
          <w:i w:val="0"/>
          <w:caps w:val="0"/>
          <w:color w:val="565656"/>
          <w:spacing w:val="0"/>
          <w:sz w:val="24"/>
          <w:szCs w:val="24"/>
          <w:shd w:val="clear" w:fill="FFFFFF"/>
        </w:rPr>
        <w:t>　 </w:t>
      </w:r>
      <w:r>
        <w:rPr>
          <w:rFonts w:hint="eastAsia" w:ascii="方正仿宋简体" w:hAnsi="方正仿宋简体" w:eastAsia="方正仿宋简体" w:cs="方正仿宋简体"/>
          <w:b/>
          <w:bCs/>
          <w:i w:val="0"/>
          <w:caps w:val="0"/>
          <w:color w:val="000000" w:themeColor="text1"/>
          <w:spacing w:val="0"/>
          <w:sz w:val="32"/>
          <w:szCs w:val="32"/>
          <w:shd w:val="clear" w:fill="FFFFFF"/>
          <w14:textFill>
            <w14:solidFill>
              <w14:schemeClr w14:val="tx1"/>
            </w14:solidFill>
          </w14:textFill>
        </w:rPr>
        <w:t>（一）部门机构设置</w:t>
      </w:r>
      <w:r>
        <w:rPr>
          <w:rFonts w:hint="eastAsia" w:ascii="方正仿宋简体" w:hAnsi="方正仿宋简体" w:eastAsia="方正仿宋简体" w:cs="方正仿宋简体"/>
          <w:b/>
          <w:bCs/>
          <w:i w:val="0"/>
          <w:caps w:val="0"/>
          <w:color w:val="000000" w:themeColor="text1"/>
          <w:spacing w:val="0"/>
          <w:sz w:val="32"/>
          <w:szCs w:val="32"/>
          <w:shd w:val="clear" w:fill="FFFFFF"/>
          <w14:textFill>
            <w14:solidFill>
              <w14:schemeClr w14:val="tx1"/>
            </w14:solidFill>
          </w14:textFill>
        </w:rPr>
        <w:br w:type="textWrapping"/>
      </w:r>
      <w:r>
        <w:rPr>
          <w:rFonts w:hint="eastAsia" w:ascii="方正仿宋简体" w:hAnsi="方正仿宋简体" w:eastAsia="方正仿宋简体" w:cs="方正仿宋简体"/>
          <w:b w:val="0"/>
          <w:i w:val="0"/>
          <w:caps w:val="0"/>
          <w:color w:val="000000" w:themeColor="text1"/>
          <w:spacing w:val="0"/>
          <w:sz w:val="32"/>
          <w:szCs w:val="32"/>
          <w:shd w:val="clear" w:fill="FFFFFF"/>
          <w14:textFill>
            <w14:solidFill>
              <w14:schemeClr w14:val="tx1"/>
            </w14:solidFill>
          </w14:textFill>
        </w:rPr>
        <w:t>　　根据市政办发[2006]1号文件《 邵阳市人民政府办公室  关于印发邵阳市城市管理行政执法局职能配置内设机构和人员编制规定的通知》，设立大祥、双清、北塔三区城市管理行政执法局（加挂区城市管理行政执法大队牌子），均为正科级，实行“两块牌子，一套人员”。实行市城市管理行政执法局和区人民政府双重领导，日常工作由区人民政府负责管理、调度，业务工作受市城市管理行政执法局的领导和监督。大祥区城管局属于财政全额拨款的参照公务员管理单位，内设办公室、监察室、市容股、法制股和四个执法中队，现人员编制数98个，其中行政编65个，事业编33个。实际人数95人，在职86人，退休9人。</w:t>
      </w:r>
    </w:p>
    <w:p>
      <w:pPr>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i w:val="0"/>
          <w:caps w:val="0"/>
          <w:color w:val="000000" w:themeColor="text1"/>
          <w:spacing w:val="0"/>
          <w:sz w:val="32"/>
          <w:szCs w:val="32"/>
          <w:shd w:val="clear" w:fill="FFFFFF"/>
          <w14:textFill>
            <w14:solidFill>
              <w14:schemeClr w14:val="tx1"/>
            </w14:solidFill>
          </w14:textFill>
        </w:rPr>
        <w:t>（</w:t>
      </w:r>
      <w:r>
        <w:rPr>
          <w:rFonts w:hint="eastAsia" w:ascii="方正仿宋简体" w:hAnsi="方正仿宋简体" w:eastAsia="方正仿宋简体" w:cs="方正仿宋简体"/>
          <w:b/>
          <w:bCs/>
          <w:i w:val="0"/>
          <w:caps w:val="0"/>
          <w:color w:val="000000" w:themeColor="text1"/>
          <w:spacing w:val="0"/>
          <w:sz w:val="32"/>
          <w:szCs w:val="32"/>
          <w:shd w:val="clear" w:fill="FFFFFF"/>
          <w:lang w:eastAsia="zh-CN"/>
          <w14:textFill>
            <w14:solidFill>
              <w14:schemeClr w14:val="tx1"/>
            </w14:solidFill>
          </w14:textFill>
        </w:rPr>
        <w:t>二</w:t>
      </w:r>
      <w:r>
        <w:rPr>
          <w:rFonts w:hint="eastAsia" w:ascii="方正仿宋简体" w:hAnsi="方正仿宋简体" w:eastAsia="方正仿宋简体" w:cs="方正仿宋简体"/>
          <w:b/>
          <w:bCs/>
          <w:i w:val="0"/>
          <w:caps w:val="0"/>
          <w:color w:val="000000" w:themeColor="text1"/>
          <w:spacing w:val="0"/>
          <w:sz w:val="32"/>
          <w:szCs w:val="32"/>
          <w:shd w:val="clear" w:fill="FFFFFF"/>
          <w14:textFill>
            <w14:solidFill>
              <w14:schemeClr w14:val="tx1"/>
            </w14:solidFill>
          </w14:textFill>
        </w:rPr>
        <w:t>）</w:t>
      </w:r>
      <w:r>
        <w:rPr>
          <w:rFonts w:hint="eastAsia" w:ascii="方正仿宋简体" w:hAnsi="方正仿宋简体" w:eastAsia="方正仿宋简体" w:cs="方正仿宋简体"/>
          <w:b/>
          <w:bCs/>
          <w:color w:val="000000" w:themeColor="text1"/>
          <w:sz w:val="32"/>
          <w:szCs w:val="32"/>
          <w14:textFill>
            <w14:solidFill>
              <w14:schemeClr w14:val="tx1"/>
            </w14:solidFill>
          </w14:textFill>
        </w:rPr>
        <w:t>部门主要职责</w:t>
      </w:r>
    </w:p>
    <w:p>
      <w:pPr>
        <w:rPr>
          <w:rFonts w:hint="eastAsia" w:ascii="方正仿宋简体" w:hAnsi="方正仿宋简体" w:eastAsia="方正仿宋简体" w:cs="方正仿宋简体"/>
          <w:b w:val="0"/>
          <w:i w:val="0"/>
          <w:caps w:val="0"/>
          <w:color w:val="000000" w:themeColor="text1"/>
          <w:spacing w:val="0"/>
          <w:sz w:val="32"/>
          <w:szCs w:val="32"/>
          <w:shd w:val="clear" w:fill="FFFFFF"/>
          <w14:textFill>
            <w14:solidFill>
              <w14:schemeClr w14:val="tx1"/>
            </w14:solidFill>
          </w14:textFill>
        </w:rPr>
      </w:pPr>
      <w:r>
        <w:rPr>
          <w:rFonts w:hint="eastAsia" w:ascii="方正仿宋简体" w:hAnsi="方正仿宋简体" w:eastAsia="方正仿宋简体" w:cs="方正仿宋简体"/>
          <w:b w:val="0"/>
          <w:i w:val="0"/>
          <w:caps w:val="0"/>
          <w:color w:val="000000" w:themeColor="text1"/>
          <w:spacing w:val="0"/>
          <w:sz w:val="32"/>
          <w:szCs w:val="32"/>
          <w:shd w:val="clear" w:fill="FFFFFF"/>
          <w:lang w:val="en-US" w:eastAsia="zh-CN"/>
          <w14:textFill>
            <w14:solidFill>
              <w14:schemeClr w14:val="tx1"/>
            </w14:solidFill>
          </w14:textFill>
        </w:rPr>
        <w:t xml:space="preserve">    </w:t>
      </w:r>
      <w:r>
        <w:rPr>
          <w:rFonts w:hint="eastAsia" w:ascii="方正仿宋简体" w:hAnsi="方正仿宋简体" w:eastAsia="方正仿宋简体" w:cs="方正仿宋简体"/>
          <w:b w:val="0"/>
          <w:i w:val="0"/>
          <w:caps w:val="0"/>
          <w:color w:val="000000" w:themeColor="text1"/>
          <w:spacing w:val="0"/>
          <w:sz w:val="32"/>
          <w:szCs w:val="32"/>
          <w:shd w:val="clear" w:fill="FFFFFF"/>
          <w14:textFill>
            <w14:solidFill>
              <w14:schemeClr w14:val="tx1"/>
            </w14:solidFill>
          </w14:textFill>
        </w:rPr>
        <w:t>大祥区城市管理行政执法局负责辖区9办1镇，共20条主街干道、28条长效管理路段全天候的城市管理任务，以市城管行政执法局的名义集中行使市容环境卫生、园林绿化、城市规划、市政管理、环境保护、工商管理、公安管理等法律、法规、规章规定的全部或部分行政处罚权。承办市城管局、区委、区人民政府交办的其他事项。</w:t>
      </w:r>
    </w:p>
    <w:p>
      <w:pPr>
        <w:widowControl/>
        <w:shd w:val="clear" w:color="auto" w:fill="FFFFFF"/>
        <w:spacing w:line="300" w:lineRule="atLeast"/>
        <w:ind w:firstLine="548"/>
        <w:jc w:val="left"/>
        <w:rPr>
          <w:rFonts w:hint="eastAsia" w:ascii="黑体" w:hAnsi="黑体" w:eastAsia="黑体" w:cs="黑体"/>
          <w:color w:val="000000" w:themeColor="text1"/>
          <w:kern w:val="0"/>
          <w:sz w:val="32"/>
          <w:szCs w:val="32"/>
          <w14:textFill>
            <w14:solidFill>
              <w14:schemeClr w14:val="tx1"/>
            </w14:solidFill>
          </w14:textFill>
        </w:rPr>
      </w:pPr>
      <w:r>
        <w:rPr>
          <w:rFonts w:hint="eastAsia" w:ascii="黑体" w:hAnsi="黑体" w:eastAsia="黑体" w:cs="黑体"/>
          <w:b/>
          <w:bCs/>
          <w:color w:val="000000" w:themeColor="text1"/>
          <w:kern w:val="0"/>
          <w:sz w:val="32"/>
          <w:szCs w:val="32"/>
          <w14:textFill>
            <w14:solidFill>
              <w14:schemeClr w14:val="tx1"/>
            </w14:solidFill>
          </w14:textFill>
        </w:rPr>
        <w:t>二、收入决算说明</w:t>
      </w:r>
    </w:p>
    <w:p>
      <w:pPr>
        <w:widowControl/>
        <w:spacing w:line="225" w:lineRule="atLeast"/>
        <w:ind w:firstLine="560"/>
        <w:jc w:val="left"/>
        <w:rPr>
          <w:rFonts w:hint="eastAsia" w:ascii="方正仿宋简体" w:hAnsi="方正仿宋简体" w:eastAsia="方正仿宋简体" w:cs="方正仿宋简体"/>
          <w:color w:val="000000" w:themeColor="text1"/>
          <w:kern w:val="0"/>
          <w:sz w:val="32"/>
          <w:szCs w:val="32"/>
          <w14:textFill>
            <w14:solidFill>
              <w14:schemeClr w14:val="tx1"/>
            </w14:solidFill>
          </w14:textFill>
        </w:rPr>
      </w:pP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2015年部门汇总收入决算</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910.5</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万元，其中一般公共预算财政拨款</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910.5</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w:t>
      </w:r>
    </w:p>
    <w:p>
      <w:pPr>
        <w:widowControl/>
        <w:shd w:val="clear" w:color="auto" w:fill="FFFFFF"/>
        <w:spacing w:line="300" w:lineRule="atLeast"/>
        <w:ind w:firstLine="548"/>
        <w:jc w:val="left"/>
        <w:rPr>
          <w:rFonts w:hint="eastAsia" w:ascii="黑体" w:hAnsi="黑体" w:eastAsia="黑体" w:cs="黑体"/>
          <w:color w:val="000000" w:themeColor="text1"/>
          <w:kern w:val="0"/>
          <w:sz w:val="32"/>
          <w:szCs w:val="32"/>
          <w14:textFill>
            <w14:solidFill>
              <w14:schemeClr w14:val="tx1"/>
            </w14:solidFill>
          </w14:textFill>
        </w:rPr>
      </w:pPr>
      <w:r>
        <w:rPr>
          <w:rFonts w:hint="eastAsia" w:ascii="黑体" w:hAnsi="黑体" w:eastAsia="黑体" w:cs="黑体"/>
          <w:b/>
          <w:bCs/>
          <w:color w:val="000000" w:themeColor="text1"/>
          <w:kern w:val="0"/>
          <w:sz w:val="32"/>
          <w:szCs w:val="32"/>
          <w14:textFill>
            <w14:solidFill>
              <w14:schemeClr w14:val="tx1"/>
            </w14:solidFill>
          </w14:textFill>
        </w:rPr>
        <w:t>三、支出决算说明</w:t>
      </w:r>
    </w:p>
    <w:p>
      <w:pPr>
        <w:widowControl/>
        <w:spacing w:line="225" w:lineRule="atLeast"/>
        <w:ind w:firstLine="560"/>
        <w:jc w:val="left"/>
        <w:rPr>
          <w:rFonts w:hint="eastAsia" w:ascii="方正仿宋简体" w:hAnsi="方正仿宋简体" w:eastAsia="方正仿宋简体" w:cs="方正仿宋简体"/>
          <w:color w:val="000000" w:themeColor="text1"/>
          <w:kern w:val="0"/>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kern w:val="0"/>
          <w:sz w:val="32"/>
          <w:szCs w:val="32"/>
          <w14:textFill>
            <w14:solidFill>
              <w14:schemeClr w14:val="tx1"/>
            </w14:solidFill>
          </w14:textFill>
        </w:rPr>
        <w:t>（一）支出总体情况</w:t>
      </w:r>
    </w:p>
    <w:p>
      <w:pPr>
        <w:widowControl/>
        <w:spacing w:line="225" w:lineRule="atLeast"/>
        <w:ind w:firstLine="560"/>
        <w:jc w:val="left"/>
        <w:rPr>
          <w:rFonts w:hint="eastAsia" w:ascii="方正仿宋简体" w:hAnsi="方正仿宋简体" w:eastAsia="方正仿宋简体" w:cs="方正仿宋简体"/>
          <w:color w:val="000000" w:themeColor="text1"/>
          <w:kern w:val="0"/>
          <w:sz w:val="32"/>
          <w:szCs w:val="32"/>
          <w14:textFill>
            <w14:solidFill>
              <w14:schemeClr w14:val="tx1"/>
            </w14:solidFill>
          </w14:textFill>
        </w:rPr>
      </w:pP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 2015年本部门汇总支出预算</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910.5</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万元，包括：一般公共服务支出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112.5</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万元，社会保障和就业（类）支出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44</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万元，医疗卫生与计划生育（类）支出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19.9</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w:t>
      </w:r>
      <w:r>
        <w:rPr>
          <w:rFonts w:hint="eastAsia" w:ascii="方正仿宋简体" w:hAnsi="方正仿宋简体" w:eastAsia="方正仿宋简体" w:cs="方正仿宋简体"/>
          <w:color w:val="000000" w:themeColor="text1"/>
          <w:kern w:val="0"/>
          <w:sz w:val="32"/>
          <w:szCs w:val="32"/>
          <w:lang w:eastAsia="zh-CN"/>
          <w14:textFill>
            <w14:solidFill>
              <w14:schemeClr w14:val="tx1"/>
            </w14:solidFill>
          </w14:textFill>
        </w:rPr>
        <w:t>城乡社区支出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720.8万元，</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住房保障支出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13.2</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w:t>
      </w:r>
    </w:p>
    <w:p>
      <w:pPr>
        <w:widowControl/>
        <w:spacing w:line="225" w:lineRule="atLeast"/>
        <w:ind w:firstLine="560"/>
        <w:jc w:val="left"/>
        <w:rPr>
          <w:rFonts w:hint="eastAsia" w:ascii="方正仿宋简体" w:hAnsi="方正仿宋简体" w:eastAsia="方正仿宋简体" w:cs="方正仿宋简体"/>
          <w:color w:val="000000" w:themeColor="text1"/>
          <w:kern w:val="0"/>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kern w:val="0"/>
          <w:sz w:val="32"/>
          <w:szCs w:val="32"/>
          <w14:textFill>
            <w14:solidFill>
              <w14:schemeClr w14:val="tx1"/>
            </w14:solidFill>
          </w14:textFill>
        </w:rPr>
        <w:t>（二）一般公共财政预算支出情况</w:t>
      </w:r>
    </w:p>
    <w:p>
      <w:pPr>
        <w:widowControl/>
        <w:spacing w:line="225" w:lineRule="atLeast"/>
        <w:ind w:firstLine="560"/>
        <w:jc w:val="left"/>
        <w:rPr>
          <w:rFonts w:hint="eastAsia" w:ascii="方正仿宋简体" w:hAnsi="方正仿宋简体" w:eastAsia="方正仿宋简体" w:cs="方正仿宋简体"/>
          <w:color w:val="000000" w:themeColor="text1"/>
          <w:kern w:val="0"/>
          <w:sz w:val="32"/>
          <w:szCs w:val="32"/>
          <w14:textFill>
            <w14:solidFill>
              <w14:schemeClr w14:val="tx1"/>
            </w14:solidFill>
          </w14:textFill>
        </w:rPr>
      </w:pP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2015年一般公共财政预算和基金预算拨款安排的汇总决算支出共</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910.5</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万元，一般公共预算财政支出</w:t>
      </w:r>
      <w:r>
        <w:rPr>
          <w:rFonts w:hint="eastAsia" w:ascii="方正仿宋简体" w:hAnsi="方正仿宋简体" w:eastAsia="方正仿宋简体" w:cs="方正仿宋简体"/>
          <w:color w:val="000000" w:themeColor="text1"/>
          <w:kern w:val="0"/>
          <w:sz w:val="32"/>
          <w:szCs w:val="32"/>
          <w:lang w:eastAsia="zh-CN"/>
          <w14:textFill>
            <w14:solidFill>
              <w14:schemeClr w14:val="tx1"/>
            </w14:solidFill>
          </w14:textFill>
        </w:rPr>
        <w:t>中</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基本支出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909.5万元</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w:t>
      </w:r>
      <w:r>
        <w:rPr>
          <w:rFonts w:hint="eastAsia" w:ascii="方正仿宋简体" w:hAnsi="方正仿宋简体" w:eastAsia="方正仿宋简体" w:cs="方正仿宋简体"/>
          <w:color w:val="000000" w:themeColor="text1"/>
          <w:kern w:val="0"/>
          <w:sz w:val="32"/>
          <w:szCs w:val="32"/>
          <w:lang w:eastAsia="zh-CN"/>
          <w14:textFill>
            <w14:solidFill>
              <w14:schemeClr w14:val="tx1"/>
            </w14:solidFill>
          </w14:textFill>
        </w:rPr>
        <w:t>项目支出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1</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万元，其中：工资福利性支出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504</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万元、商品和服务支出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329</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万元、对个人和家庭补助支出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77.3</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w:t>
      </w:r>
      <w:r>
        <w:rPr>
          <w:rFonts w:hint="eastAsia" w:ascii="方正仿宋简体" w:hAnsi="方正仿宋简体" w:eastAsia="方正仿宋简体" w:cs="方正仿宋简体"/>
          <w:color w:val="000000" w:themeColor="text1"/>
          <w:kern w:val="0"/>
          <w:sz w:val="32"/>
          <w:szCs w:val="32"/>
          <w:lang w:eastAsia="zh-CN"/>
          <w14:textFill>
            <w14:solidFill>
              <w14:schemeClr w14:val="tx1"/>
            </w14:solidFill>
          </w14:textFill>
        </w:rPr>
        <w:t>其他资本性支出</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0.2</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w:t>
      </w:r>
    </w:p>
    <w:p>
      <w:pPr>
        <w:widowControl/>
        <w:spacing w:line="225" w:lineRule="atLeast"/>
        <w:ind w:firstLine="560"/>
        <w:jc w:val="left"/>
        <w:rPr>
          <w:rFonts w:hint="eastAsia" w:ascii="黑体" w:hAnsi="黑体" w:eastAsia="黑体" w:cs="黑体"/>
          <w:b/>
          <w:color w:val="000000" w:themeColor="text1"/>
          <w:kern w:val="0"/>
          <w:sz w:val="32"/>
          <w:szCs w:val="32"/>
          <w14:textFill>
            <w14:solidFill>
              <w14:schemeClr w14:val="tx1"/>
            </w14:solidFill>
          </w14:textFill>
        </w:rPr>
      </w:pPr>
      <w:r>
        <w:rPr>
          <w:rFonts w:hint="eastAsia" w:ascii="黑体" w:hAnsi="黑体" w:eastAsia="黑体" w:cs="黑体"/>
          <w:b/>
          <w:color w:val="000000" w:themeColor="text1"/>
          <w:kern w:val="0"/>
          <w:sz w:val="32"/>
          <w:szCs w:val="32"/>
          <w14:textFill>
            <w14:solidFill>
              <w14:schemeClr w14:val="tx1"/>
            </w14:solidFill>
          </w14:textFill>
        </w:rPr>
        <w:t>四、结转和结余情况说明</w:t>
      </w:r>
    </w:p>
    <w:p>
      <w:pPr>
        <w:rPr>
          <w:rFonts w:hint="eastAsia" w:ascii="方正仿宋简体" w:hAnsi="方正仿宋简体" w:eastAsia="方正仿宋简体" w:cs="方正仿宋简体"/>
          <w:b w:val="0"/>
          <w:i w:val="0"/>
          <w:caps w:val="0"/>
          <w:color w:val="000000" w:themeColor="text1"/>
          <w:spacing w:val="0"/>
          <w:sz w:val="32"/>
          <w:szCs w:val="32"/>
          <w:shd w:val="clear" w:fill="FFFFFF"/>
          <w14:textFill>
            <w14:solidFill>
              <w14:schemeClr w14:val="tx1"/>
            </w14:solidFill>
          </w14:textFill>
        </w:rPr>
      </w:pP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2015年末财政拨款结转和结余</w:t>
      </w:r>
      <w:r>
        <w:rPr>
          <w:rFonts w:hint="eastAsia" w:ascii="方正仿宋简体" w:hAnsi="方正仿宋简体" w:eastAsia="方正仿宋简体" w:cs="方正仿宋简体"/>
          <w:color w:val="000000" w:themeColor="text1"/>
          <w:kern w:val="0"/>
          <w:sz w:val="32"/>
          <w:szCs w:val="32"/>
          <w:lang w:val="en-US" w:eastAsia="zh-CN"/>
          <w14:textFill>
            <w14:solidFill>
              <w14:schemeClr w14:val="tx1"/>
            </w14:solidFill>
          </w14:textFill>
        </w:rPr>
        <w:t>0</w:t>
      </w:r>
      <w:r>
        <w:rPr>
          <w:rFonts w:hint="eastAsia" w:ascii="方正仿宋简体" w:hAnsi="方正仿宋简体" w:eastAsia="方正仿宋简体" w:cs="方正仿宋简体"/>
          <w:color w:val="000000" w:themeColor="text1"/>
          <w:kern w:val="0"/>
          <w:sz w:val="32"/>
          <w:szCs w:val="32"/>
          <w14:textFill>
            <w14:solidFill>
              <w14:schemeClr w14:val="tx1"/>
            </w14:solidFill>
          </w14:textFill>
        </w:rPr>
        <w:t>万元。</w:t>
      </w:r>
    </w:p>
    <w:p>
      <w:pPr>
        <w:rPr>
          <w:rFonts w:ascii="宋体" w:hAnsi="宋体" w:eastAsia="宋体" w:cs="宋体"/>
          <w:b w:val="0"/>
          <w:i w:val="0"/>
          <w:caps w:val="0"/>
          <w:color w:val="565656"/>
          <w:spacing w:val="0"/>
          <w:sz w:val="24"/>
          <w:szCs w:val="24"/>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114AB1B-D914-49E8-9977-AEBB24A7263D}"/>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 w:name="Symbol">
    <w:panose1 w:val="05050102010706020507"/>
    <w:charset w:val="00"/>
    <w:family w:val="auto"/>
    <w:pitch w:val="default"/>
    <w:sig w:usb0="00000000" w:usb1="00000000" w:usb2="00000000" w:usb3="00000000" w:csb0="8000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叶根友行书(繁)08">
    <w:panose1 w:val="02010601030101010101"/>
    <w:charset w:val="86"/>
    <w:family w:val="auto"/>
    <w:pitch w:val="default"/>
    <w:sig w:usb0="00000001" w:usb1="080E0000" w:usb2="00000000" w:usb3="00000000" w:csb0="00040000" w:csb1="00000000"/>
  </w:font>
  <w:font w:name="Senty Cream Puff 新蒂泡芙体">
    <w:panose1 w:val="03000600000000000000"/>
    <w:charset w:val="86"/>
    <w:family w:val="auto"/>
    <w:pitch w:val="default"/>
    <w:sig w:usb0="80000027" w:usb1="0807086A" w:usb2="00000010" w:usb3="00000000" w:csb0="00140001" w:csb1="00000000"/>
  </w:font>
  <w:font w:name="DFKai-SB">
    <w:panose1 w:val="03000509000000000000"/>
    <w:charset w:val="88"/>
    <w:family w:val="auto"/>
    <w:pitch w:val="default"/>
    <w:sig w:usb0="00000003" w:usb1="082E0000" w:usb2="00000016" w:usb3="00000000" w:csb0="00100001" w:csb1="00000000"/>
  </w:font>
  <w:font w:name="BatangChe">
    <w:panose1 w:val="02030609000101010101"/>
    <w:charset w:val="81"/>
    <w:family w:val="auto"/>
    <w:pitch w:val="default"/>
    <w:sig w:usb0="B00002AF" w:usb1="69D77CFB" w:usb2="00000030" w:usb3="00000000" w:csb0="4008009F" w:csb1="DFD70000"/>
  </w:font>
  <w:font w:name="Batang">
    <w:panose1 w:val="02030600000101010101"/>
    <w:charset w:val="81"/>
    <w:family w:val="auto"/>
    <w:pitch w:val="default"/>
    <w:sig w:usb0="B00002AF" w:usb1="69D77CFB" w:usb2="00000030" w:usb3="00000000" w:csb0="4008009F" w:csb1="DFD70000"/>
  </w:font>
  <w:font w:name="方正仿宋简体">
    <w:panose1 w:val="02000000000000000000"/>
    <w:charset w:val="86"/>
    <w:family w:val="auto"/>
    <w:pitch w:val="default"/>
    <w:sig w:usb0="A00002BF" w:usb1="184F6CFA" w:usb2="00000012" w:usb3="00000000" w:csb0="00040001" w:csb1="00000000"/>
    <w:embedRegular r:id="rId2" w:fontKey="{A52C01B7-7341-40BE-9769-BB7E868F6AE6}"/>
  </w:font>
  <w:font w:name="Calibri Light">
    <w:panose1 w:val="020F0302020204030204"/>
    <w:charset w:val="00"/>
    <w:family w:val="auto"/>
    <w:pitch w:val="default"/>
    <w:sig w:usb0="A00002EF" w:usb1="4000207B" w:usb2="00000000" w:usb3="00000000" w:csb0="2000019F" w:csb1="00000000"/>
  </w:font>
  <w:font w:name="刘德华字体叶根友仿08">
    <w:panose1 w:val="02010601030101010101"/>
    <w:charset w:val="86"/>
    <w:family w:val="auto"/>
    <w:pitch w:val="default"/>
    <w:sig w:usb0="00000001" w:usb1="080E0000" w:usb2="00000000" w:usb3="00000000" w:csb0="00040000" w:csb1="00000000"/>
  </w:font>
  <w:font w:name="字体管家娜娜体">
    <w:panose1 w:val="00020600040101010101"/>
    <w:charset w:val="86"/>
    <w:family w:val="auto"/>
    <w:pitch w:val="default"/>
    <w:sig w:usb0="A00002BF" w:usb1="18EF7CFA" w:usb2="00000016" w:usb3="00000000" w:csb0="0004009F" w:csb1="DFD70000"/>
  </w:font>
  <w:font w:name="字体管家糖果">
    <w:panose1 w:val="00020600040101010101"/>
    <w:charset w:val="86"/>
    <w:family w:val="auto"/>
    <w:pitch w:val="default"/>
    <w:sig w:usb0="A00002BF" w:usb1="18EF7CFA" w:usb2="00000016" w:usb3="00000000" w:csb0="0004009F" w:csb1="DFD70000"/>
  </w:font>
  <w:font w:name="字体管家胖丫儿">
    <w:panose1 w:val="00020600040101010101"/>
    <w:charset w:val="86"/>
    <w:family w:val="auto"/>
    <w:pitch w:val="default"/>
    <w:sig w:usb0="A00002BF" w:usb1="18EF7CFA" w:usb2="00000016" w:usb3="00000000" w:csb0="0004009F" w:csb1="DFD70000"/>
  </w:font>
  <w:font w:name="Sherlocode">
    <w:panose1 w:val="00000000000000000000"/>
    <w:charset w:val="00"/>
    <w:family w:val="auto"/>
    <w:pitch w:val="default"/>
    <w:sig w:usb0="800000AF" w:usb1="1000204A" w:usb2="00000000" w:usb3="00000000" w:csb0="20000111" w:csb1="40000000"/>
  </w:font>
  <w:font w:name="微软雅黑">
    <w:panose1 w:val="020B0503020204020204"/>
    <w:charset w:val="86"/>
    <w:family w:val="auto"/>
    <w:pitch w:val="default"/>
    <w:sig w:usb0="80000287" w:usb1="280F3C52" w:usb2="00000016" w:usb3="00000000" w:csb0="0004001F" w:csb1="00000000"/>
  </w:font>
  <w:font w:name="方正兰亭超细黑简体">
    <w:panose1 w:val="02000000000000000000"/>
    <w:charset w:val="86"/>
    <w:family w:val="auto"/>
    <w:pitch w:val="default"/>
    <w:sig w:usb0="00000001" w:usb1="0800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PMingLiU">
    <w:panose1 w:val="02020500000000000000"/>
    <w:charset w:val="88"/>
    <w:family w:val="auto"/>
    <w:pitch w:val="default"/>
    <w:sig w:usb0="A00002FF" w:usb1="28CFFCFA" w:usb2="00000016" w:usb3="00000000" w:csb0="001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0981F5"/>
    <w:multiLevelType w:val="multilevel"/>
    <w:tmpl w:val="580981F5"/>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6E0DAB"/>
    <w:rsid w:val="057F3182"/>
    <w:rsid w:val="087F6500"/>
    <w:rsid w:val="12D253BC"/>
    <w:rsid w:val="166E0DAB"/>
    <w:rsid w:val="1FD12265"/>
    <w:rsid w:val="2B857CC4"/>
    <w:rsid w:val="364327B5"/>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Office_10.1.0.5975_F1E327BC-269C-435d-A152-05C5408002CA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2016-10-21T02:33:00Z</dcterms:created>
  <dc:creator>Administrator</dc:creator>
  <cp:lastModifiedBy>Administrator</cp:lastModifiedBy>
  <dcterms:modified xsi:type="dcterms:W3CDTF">2016-10-21T03:39:09Z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