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Times New Roman"/>
          <w:kern w:val="2"/>
          <w:sz w:val="52"/>
          <w:szCs w:val="5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kern w:val="2"/>
          <w:sz w:val="52"/>
          <w:szCs w:val="52"/>
          <w:lang w:val="en-US" w:eastAsia="zh-CN" w:bidi="ar-SA"/>
        </w:rPr>
        <w:t>邵阳市大祥区财政局</w:t>
      </w:r>
    </w:p>
    <w:p>
      <w:pPr>
        <w:snapToGrid w:val="0"/>
        <w:ind w:firstLine="0" w:firstLineChars="0"/>
        <w:jc w:val="center"/>
        <w:rPr>
          <w:rFonts w:hint="eastAsia" w:ascii="华文中宋" w:hAnsi="华文中宋" w:eastAsia="华文中宋"/>
          <w:sz w:val="52"/>
          <w:szCs w:val="52"/>
          <w:lang w:eastAsia="zh-CN"/>
        </w:rPr>
      </w:pPr>
      <w:r>
        <w:rPr>
          <w:rFonts w:hint="eastAsia" w:ascii="华文中宋" w:hAnsi="华文中宋" w:eastAsia="华文中宋"/>
          <w:sz w:val="52"/>
          <w:szCs w:val="52"/>
          <w:lang w:eastAsia="zh-CN"/>
        </w:rPr>
        <w:t>部门整体支出绩效自评报告</w:t>
      </w: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52"/>
          <w:szCs w:val="52"/>
          <w:lang w:eastAsia="zh-CN"/>
        </w:rPr>
      </w:pPr>
    </w:p>
    <w:p>
      <w:pPr>
        <w:snapToGrid w:val="0"/>
        <w:ind w:firstLine="0" w:firstLineChars="0"/>
        <w:jc w:val="center"/>
        <w:rPr>
          <w:rFonts w:hint="eastAsia" w:ascii="华文中宋" w:hAnsi="华文中宋" w:eastAsia="华文中宋"/>
          <w:sz w:val="52"/>
          <w:szCs w:val="5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Times New Roman"/>
          <w:kern w:val="2"/>
          <w:sz w:val="52"/>
          <w:szCs w:val="5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kern w:val="2"/>
          <w:sz w:val="52"/>
          <w:szCs w:val="52"/>
          <w:lang w:val="en-US" w:eastAsia="zh-CN" w:bidi="ar-SA"/>
        </w:rPr>
        <w:t>邵阳市大祥区财政局</w:t>
      </w:r>
    </w:p>
    <w:p>
      <w:pPr>
        <w:widowControl/>
        <w:shd w:val="clear" w:color="auto" w:fill="auto"/>
        <w:snapToGrid w:val="0"/>
        <w:spacing w:line="520" w:lineRule="exact"/>
        <w:ind w:firstLine="2080" w:firstLineChars="400"/>
        <w:jc w:val="both"/>
        <w:rPr>
          <w:rFonts w:hint="eastAsia" w:ascii="仿宋_GB2312" w:hAnsi="仿宋" w:eastAsia="仿宋_GB2312" w:cs="Times New Roman"/>
          <w:sz w:val="32"/>
          <w:szCs w:val="32"/>
          <w:shd w:val="clear" w:color="auto" w:fill="auto"/>
          <w:lang w:bidi="ar"/>
        </w:rPr>
      </w:pP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202</w:t>
      </w:r>
      <w:r>
        <w:rPr>
          <w:rFonts w:hint="default" w:ascii="华文中宋" w:hAnsi="华文中宋" w:eastAsia="华文中宋"/>
          <w:sz w:val="52"/>
          <w:szCs w:val="52"/>
          <w:lang w:eastAsia="zh-CN"/>
        </w:rPr>
        <w:t>5</w:t>
      </w:r>
      <w:r>
        <w:rPr>
          <w:rFonts w:hint="eastAsia" w:ascii="华文中宋" w:hAnsi="华文中宋" w:eastAsia="华文中宋"/>
          <w:sz w:val="52"/>
          <w:szCs w:val="52"/>
          <w:lang w:eastAsia="zh-CN"/>
        </w:rPr>
        <w:t>年</w:t>
      </w:r>
      <w:r>
        <w:rPr>
          <w:rFonts w:hint="default" w:ascii="华文中宋" w:hAnsi="华文中宋" w:eastAsia="华文中宋"/>
          <w:sz w:val="52"/>
          <w:szCs w:val="52"/>
          <w:lang w:eastAsia="zh-CN"/>
        </w:rPr>
        <w:t>11</w:t>
      </w: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月</w:t>
      </w:r>
      <w:r>
        <w:rPr>
          <w:rFonts w:hint="default" w:ascii="华文中宋" w:hAnsi="华文中宋" w:eastAsia="华文中宋"/>
          <w:sz w:val="52"/>
          <w:szCs w:val="52"/>
          <w:lang w:eastAsia="zh-CN"/>
        </w:rPr>
        <w:t>5</w:t>
      </w: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日</w:t>
      </w: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</w:rPr>
        <w:t>为深入贯彻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《中共湖南省委办公厅 湖南省人民政府办公厅关于全面实施预算绩效管理的实施意见》（湘办发〔2019〕10号）</w:t>
      </w:r>
      <w:r>
        <w:rPr>
          <w:rFonts w:hint="default" w:ascii="仿宋_GB2312" w:hAnsi="仿宋" w:eastAsia="仿宋_GB2312" w:cs="Times New Roman"/>
          <w:kern w:val="2"/>
          <w:sz w:val="32"/>
          <w:szCs w:val="32"/>
        </w:rPr>
        <w:t>、《邵阳市人民政府关于全面推进预算绩效管理的实施意见》（邵财经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〔201</w:t>
      </w:r>
      <w:r>
        <w:rPr>
          <w:rFonts w:hint="default" w:ascii="仿宋_GB2312" w:hAnsi="仿宋" w:eastAsia="仿宋_GB2312" w:cs="Times New Roman"/>
          <w:kern w:val="2"/>
          <w:sz w:val="32"/>
          <w:szCs w:val="32"/>
        </w:rPr>
        <w:t>4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〕</w:t>
      </w:r>
      <w:r>
        <w:rPr>
          <w:rFonts w:hint="default" w:ascii="仿宋_GB2312" w:hAnsi="仿宋" w:eastAsia="仿宋_GB2312" w:cs="Times New Roman"/>
          <w:kern w:val="2"/>
          <w:sz w:val="32"/>
          <w:szCs w:val="32"/>
        </w:rPr>
        <w:t>1号）的要求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，</w:t>
      </w:r>
      <w:r>
        <w:rPr>
          <w:rFonts w:hint="default" w:ascii="仿宋_GB2312" w:hAnsi="仿宋" w:eastAsia="仿宋_GB2312" w:cs="Times New Roman"/>
          <w:kern w:val="2"/>
          <w:sz w:val="32"/>
          <w:szCs w:val="32"/>
        </w:rPr>
        <w:t>进一步规范财政资金，加快建成全方位、全过程、全覆盖的预算绩效管理体每户，切实提高财政资金使用效益，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本部门对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整体支出绩效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进行了自评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，现将评价情况报告如下：</w:t>
      </w:r>
    </w:p>
    <w:p>
      <w:pPr>
        <w:snapToGrid w:val="0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0" w:name="YS060101"/>
      <w:r>
        <w:rPr>
          <w:rFonts w:hint="eastAsia" w:ascii="黑体" w:hAnsi="黑体" w:eastAsia="黑体"/>
          <w:sz w:val="32"/>
          <w:szCs w:val="32"/>
        </w:rPr>
        <w:t>一、单位情况</w:t>
      </w:r>
    </w:p>
    <w:bookmarkEnd w:id="0"/>
    <w:p>
      <w:pPr>
        <w:snapToGrid w:val="0"/>
        <w:spacing w:line="520" w:lineRule="exact"/>
        <w:ind w:firstLine="642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（一）基本情况。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一）组织贯彻执行国家财税方针政策，拟订和执行全区财政政策、改革方案，指导全区财政工作，分析预测宏观经济形势，参与制定各项宏观经济政策，提出运用财税政策实施宏观调控和综合平衡社会财力的建议，拟订和执行区、乡，政府与企业的分配政策，完善鼓励公益事业发展的财税政策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（二）代政府起草财政、财务、会计管理的制度及办法。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三）承担区本级各项财政收支管理的责任。负责编制年度区本级预决算草案并组织执行。代编全区财政收支预算，汇总全区财政总决算，受区人民政府委托，向区人民代表大会报告区本级、全区预算及其执行情况,向区人大常委会报告决算。组织制订区本级经费开支标准、定额，负责审核批复部门(单位)的年度预决算。负责区本级预决算公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（四）负责政府非税收入管理，负责政府性基金管理，按规定管理行政事业性收费。管理财政票据。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（五）组织制定国库管理制度、国库集中收付制度，指导和监督区本级国库业务，按规定开展国库现金管理工作。负责制定政府采购制度并监督管理。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（六）贯彻执行国家税收法律、行政法规和税收调整政策，反馈政策执行情况，提出调整建议。参与区管理权限内有关税收政策及税收政策调整方案的调查研究，提出对策建议。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七）负责制定全区行政事业单位国有资产管理规章制度，会同有关部门管理行政事业单位国有资产，制定需要全区统一规定的开支标准和支出政策，负责财政预算内行政、事业单位和社会团体的非贸易外汇管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（八）负责除区政府授权相关部门监管以外的经营性国有资产管理，管理资产评估工作。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（九）负责办理区财政的经济发展支出、区级政府性投资项目的财政拨款，参与拟订区建设投资的有关政策，组织实施基本建设财务制度，负责有关政策性补贴和专项储备资金财政管理工作。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（十）会同有关部门管理区财政社会保障和就业及医疗卫生支出，组织实施社会保障资金(基金)的财务管理制度，编制区社会保障预决算草案。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十一）贯彻执行政府内外债务管理的政策、制度和办法，防范财政风险。会同有关部门管理区政府外债，制定基本管理制度。按规定管理外国政府和国际金融组织贷(赠)款。防范化解地方政府债务风险，着力防控隐性债务风险，牢牢守住不发生系统性风险的底线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（十二）负责管理全区的会计工作，规范会计行为，组织实施国家统一的会计制度，组织实施会计行政法规规章。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（十三）完成区委和区政府交办的其他任务。</w:t>
      </w:r>
    </w:p>
    <w:p>
      <w:pPr>
        <w:numPr>
          <w:ilvl w:val="0"/>
          <w:numId w:val="1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机构情况。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仿宋_GB2312"/>
          <w:color w:val="383838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383838"/>
          <w:sz w:val="32"/>
          <w:szCs w:val="32"/>
          <w:shd w:val="clear" w:color="auto" w:fill="FFFFFF"/>
          <w:lang w:val="en-US" w:eastAsia="zh-CN"/>
        </w:rPr>
        <w:t>邵阳市大祥区财政局内设机构包括：大祥区财政局内设股室8个，所属事业单位3个。内设股室分别为：办公室、社保股、经建股、预算股、国库股、综合股、绩效股、农财股。所属事业单位分别为：邵阳市大祥区财政国库集中支付中心、邵阳市大祥区财政事务中心、邵阳市大祥区投资评审中心。</w:t>
      </w:r>
    </w:p>
    <w:p>
      <w:pPr>
        <w:numPr>
          <w:ilvl w:val="0"/>
          <w:numId w:val="1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人员情况。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383838"/>
          <w:sz w:val="32"/>
          <w:szCs w:val="32"/>
          <w:shd w:val="clear" w:color="auto" w:fill="FFFFFF"/>
          <w:lang w:val="en-US" w:eastAsia="zh-CN"/>
        </w:rPr>
        <w:t>本部门共有编制人数30人，实有人数27人，其中在职27人，退休20人。</w:t>
      </w:r>
    </w:p>
    <w:p>
      <w:pPr>
        <w:snapToGrid w:val="0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1" w:name="YS060102"/>
      <w:r>
        <w:rPr>
          <w:rFonts w:hint="eastAsia" w:ascii="黑体" w:hAnsi="黑体" w:eastAsia="黑体"/>
          <w:sz w:val="32"/>
          <w:szCs w:val="32"/>
        </w:rPr>
        <w:t>二、收入支出预算执行情况分</w:t>
      </w: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析</w:t>
      </w:r>
    </w:p>
    <w:bookmarkEnd w:id="1"/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收入支出决算总体情况说明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2024年度收、支总计1,086.5万元。与上年相比，减少129.31万元，减少10.64%。主要原因是项目经费减少。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、收入决算情况说明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2024年度收入合计1,086.5万元，其中：财政拨款收入1,076.74万元，占99.1%；上级补助收入0万元，占0%；事业收入0万元，占0%；经营收入0万元，占0%；附属单位上缴收入0万元，占0%；其他收入9.76万元，占0.9%。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、支出决算情况说明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2024年度支出合计1,086.5万元，其中：基本支出699.21万元，占64.35%；项目支出387.3万元，占35.65%；上缴上级支出0万元，占0%；经营支出0万元，占0%；对附属单位补助支出0万元，占0%。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、财政拨款收入支出决算总体情况说明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2024年度财政拨款收、支总计1,076.74万元。与上年相比，减少135.73万元，减少11.19%。主要原因是项目经费减少。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、一般公共预算财政拨款支出决算情况说明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（一）一般公共预算财政拨款支出决算总体情况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855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2024年度财政拨款支出1,076.74万元，占本年支出合计的99.1%。与上年相比，财政拨款支出减少135.73万元，降低11.19%。主要是因为项目经费减少。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（二）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一般公共预算财政拨款支出决算结构情况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2024年度财政拨款支出1,076.74万元，主要用于以下方面：一般公共服务支出696.77万元，占64.72%；社会保障和就业支出72.05万元，占6.69%；卫生健康支出27.47万元，占2.55%；农林水支出234.34万元，占21.76%；住房保障支出46.1万元，占4.28%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（三）一般公共预算财政拨款支出决算具体情况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2024年度财政拨款支出年初预算数为389.89万元，支出决算数为1,076.74万元，完成年初预算的276.17%，其中：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1.一般公共服务支出（类）财政事务（款）行政运行（项）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年初预算为259.61万元，支出决算为328.26万元，完成年初预算的126.44%。决算数大于年初预算数的主要原因是：年中追加。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2.一般公共服务支出（类）财政事务（款）一般行政管理事务（项）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年初预算为28.7万元，支出决算为33.8万元，完成年初预算的117.77%。决算数大于年初预算数的主要原因是：年中追加。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3.一般公共服务支出（类）财政事务（款）信息化建设（项）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年初预算为0万元，支出决算为47.34万元，由于年初预算为0万元，无法计算百分比。决算数大于年初预算数的主要原因是：年初无预算，年中追加预算支出。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4.一般公共服务支出（类）财政事务（款）财政委托业务支出（项）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年初预算为0万元，支出决算为87.29万元，由于年初预算为0万元，无法计算百分比。决算数大于年初预算数的主要原因是：年初无预算，年中追加预算支出。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5.一般公共服务支出（类）财政事务（款）其他财政事务支出（项）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年初预算为0万元，支出决算为115.61万元，由于年初预算为0万元，无法计算百分比。决算数大于年初预算数的主要原因是：年初无预算，年中追加预算支出。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6.一般公共服务支出（类）其他一般公共服务支出（款）其他一般公共服务支出（项）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年初预算为0万元，支出决算为84.47万元，由于年初预算为0万元，无法计算百分比。决算数大于年初预算数的主要原因是：年初无预算，年中追加预算支出。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7.社会保障和就业支出（类）行政事业单位养老支出（款）机关事业单位基本养老保险缴费支出（项）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年初预算为34.81万元，支出决算为40.39万元，完成年初预算的116.03%。决算数大于年​初预算数的主要原因是：缴费基数与年初预算纯在差异。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8.社会保障和就业支出（类）行政事业单位养老支出（款）其他行政事业单位养老支出（项）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年初预算为13.3万元，支出决算为30.13万元，完成年初预算的226.54%。决算数大于年初预算数的主要原因是：缴费基数与年初预算纯在差异。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9、一般公共服务支出（类）群众团体事务（款）工会事务（项）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年初预算为2.04万元，支出决算为0万元，完成年初预算的0%。决算数小于年初预算数的主要原因是：区财政统一划转，未从单位列支。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10.社会保障和就业支出（类）财政对其他社会保险基金的补助（款）财政对失业保险基金的补助（项）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年初预算为0.15万元，支出决算为0.36万元，完成年初预算的240%。决算数大于年初预算数的主要原因是：上年结转。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11.社会保障和就业支出（类）财政对其他社会保险基金的补助（款）财政对工伤保险基金的补助（项）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年初预算为1.61万元，支出决算为1.17万元，完成年初预算的72.67%。决算数小于年初预算数的主要原因是：缴费基数与年初预算存在差异。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12.卫生健康支出（类）行政事业单位医疗（款）行政单位医疗（项）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年初预算为14.37万元，支出决算为20.74万元，完成年初预算的144.33%。决算数大于年初预算数的主要原因是：缴费基数与年初预算存在差异。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13.卫生健康支出（类）行政事业单位医疗（款）公务员医疗补助（项）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年初预算为8.43万元，支出决算为5.93万元，完成年初预算的70.34%。决算数小于年初预算数的主要原因是：缴费基数与年初预算存在差异。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14.卫生健康支出（类）行政事业单位医疗（款）其他行政事业单位医疗支出（项）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年初预算为0.77万元，支出决算为0.81万元，完成年初预算的105.19%。决算数大于年初预算数的主要原因是：缴费基数与年初预算存在差异。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15.农林水支出（类）普惠金融发展支出（款）农业保险保费补贴（项）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年初预算为0万元，支出决算为234.34万元，由于年初预算为0万元，无法计算百分比。决算数大于年初预算数的主要原因是：年初未做预算，年中追加。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16.住房保障支出（类）保障性安居工程支出（款）少数民族地区游牧民定居工程（项）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年初预算为0万元，支出决算为5万元，由于年初预算为0万元，无法计算百分比。决算数大于年初预算数的主要原因是：年初未做预算，年中追加。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17.住房保障支出（类）保障性安居工程支出（款）公共租赁住房（项）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年初预算为0万元，支出决算为5万元，由于年初预算为0万元，无法计算百分比。决算数大于年初预算数的主要原因是：年初未做预算，年中追加。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18.住房保障支出（类）保障性安居工程支出（款）其他保障性安居工程支出（项）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年初预算为0万元，支出决算为10万元，由于年初预算为0万元，无法计算百分比。决算数大于年初预算数的主要原因是：年初未做预算，年中追加。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19.住房保障支出（类）住房改革支出（款）住房公积金（项）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年初预算为26.1万元，支出决算为26.1万元，完成年初预算的100%。决算数与年初预算数一致，主要原因是：我单位严格按预算执行决算。</w:t>
      </w:r>
    </w:p>
    <w:p>
      <w:pPr>
        <w:snapToGrid w:val="0"/>
        <w:spacing w:line="520" w:lineRule="exact"/>
        <w:ind w:firstLine="642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6、</w:t>
      </w:r>
      <w:r>
        <w:rPr>
          <w:rFonts w:hint="eastAsia" w:ascii="仿宋_GB2312" w:hAnsi="仿宋" w:eastAsia="仿宋_GB2312"/>
          <w:b/>
          <w:sz w:val="32"/>
          <w:szCs w:val="32"/>
        </w:rPr>
        <w:t>支出按经济分类科目分析。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（1）“三公”经费支出情况：</w:t>
      </w:r>
      <w:r>
        <w:rPr>
          <w:rFonts w:hint="default" w:ascii="仿宋_GB2312" w:hAnsi="仿宋" w:eastAsia="仿宋_GB2312"/>
          <w:sz w:val="32"/>
          <w:szCs w:val="32"/>
        </w:rPr>
        <w:t>本年度“三公”经费预算总额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" w:eastAsia="仿宋_GB2312"/>
          <w:sz w:val="32"/>
          <w:szCs w:val="32"/>
        </w:rPr>
        <w:t>万元。本年度“三公”经费决算总额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" w:eastAsia="仿宋_GB2312"/>
          <w:sz w:val="32"/>
          <w:szCs w:val="32"/>
        </w:rPr>
        <w:t>万元。上年度“三公”经费决算总额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（2）会议费支出情况：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年会议费支出0万元，较上年无增减变动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（3）培训费支出情况：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年培训费支出0万元，上年支出0.3万元，较上年减少100%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）差旅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费支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出情况：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2024年差旅费支出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4.49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snapToGrid w:val="0"/>
        <w:spacing w:line="520" w:lineRule="exact"/>
        <w:ind w:firstLine="642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（三）年末结转和结余情况。</w:t>
      </w:r>
    </w:p>
    <w:p>
      <w:pPr>
        <w:widowControl/>
        <w:numPr>
          <w:ilvl w:val="0"/>
          <w:numId w:val="0"/>
        </w:numPr>
        <w:snapToGrid w:val="0"/>
        <w:spacing w:line="52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年年末结转结余3万元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较上年无增减变动。</w:t>
      </w:r>
    </w:p>
    <w:p>
      <w:pPr>
        <w:widowControl/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部门整体支出绩效情况</w:t>
      </w:r>
    </w:p>
    <w:p>
      <w:pPr>
        <w:spacing w:line="640" w:lineRule="exact"/>
        <w:ind w:firstLine="64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经济指标完成情况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我局认真做好经济税源预测分析调研，找准税源结构及特点，及早布置收入工作。同时，科学合理分解收入任务，确保税款均衡足额入库。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预计全区一般公共预算地方收入年度完成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36818</w:t>
      </w:r>
      <w:r>
        <w:rPr>
          <w:rFonts w:hint="eastAsia" w:ascii="仿宋" w:hAnsi="仿宋" w:eastAsia="仿宋" w:cs="仿宋_GB2312"/>
          <w:sz w:val="32"/>
          <w:szCs w:val="32"/>
        </w:rPr>
        <w:t>万元，同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%。其中，税收收入完成2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万元，同比增长2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%，非税收入完成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万元，同比减少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%，非税占比为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%。2024年，大祥区财政局进一步做实非税收入，收入结构更合理、质量更好。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）大力加强支出管理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大祥区财政局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开展转移支付资金分配、拨付和使用等工作。切实加快项目审批和资金下达或采取先预拨后清算的方式下达。接到上级转移支付预算后，尽快安排形成实际支出和实际工作量，尤其是乡镇街道基层财政用好各项转移支付资金，加大统筹力度，优先用于和“三保”支出并确保按时足额兑付，特别是要切实保障基本民生，强化对困难群众的兜底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  <w:t>积极有效化解隐形债务。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区严格按规定，一般债券用于公益性资本支出，突出抓重点、补短板、强弱项，支持打好三大攻坚战，重点用于乡村振兴、环境保护、义务教育学校建设、自然村通组路等项目支出；专项债券用于有一定收益的公益性项目，用于中央确定的农林水利、产业园区基础设施建设及老旧小区改造等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lang w:val="zh-TW" w:eastAsia="zh-CN"/>
        </w:rPr>
        <w:t>（四）扎实做好惠民惠农“一卡通”发放工作。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抓实工作，确保各项补贴（助）发放的顺利进行。我们严格按照补贴发放的“五个严禁，四个不准”，使惠民惠农补贴资金更准确、快捷、安全地发放到补贴对象手中。二是加强部门协调，充分发挥资源优势，积极扩展惠民惠农补贴的发放范围。截至2024年11月底，我区各种惠民惠农补贴113项已全部通过“一卡通”发放，共计发放金额10732.96万元。三是加强“一卡通”惠民资金的精准发放。将惠民资金名目、补贴享受标准以及热点政策解答等内容进行逐项罗列形成一张“明白条”交至老百姓手中，让老百姓心有“明白账”。</w:t>
      </w:r>
    </w:p>
    <w:p>
      <w:pPr>
        <w:spacing w:line="560" w:lineRule="exact"/>
        <w:ind w:firstLine="61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预算管理情况</w:t>
      </w:r>
    </w:p>
    <w:p>
      <w:pPr>
        <w:numPr>
          <w:ilvl w:val="0"/>
          <w:numId w:val="3"/>
        </w:numPr>
        <w:ind w:left="420" w:left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财务管理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自身业务开展情况制定了财务管理、预算管理、资金支出管理、资产管理、采购管理、合同管理、项目支出预算管理、预算绩效管理、项目支出事前绩效评估管理、财政支出绩效跟踪管理、财政支出绩效评价管理等方面制度，各项制度相对健全，部门内部财务管理制度及会计核算制度基本完整、合规。</w:t>
      </w:r>
    </w:p>
    <w:p>
      <w:pPr>
        <w:ind w:left="420" w:left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资产管理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结合本单位实际情况，规范和加强各部门的资产管理工作，维护国有资产的安全完整、合理配置和有效利用。</w:t>
      </w:r>
    </w:p>
    <w:p>
      <w:pPr>
        <w:ind w:left="420" w:left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绩效管理</w:t>
      </w:r>
    </w:p>
    <w:p>
      <w:pPr>
        <w:spacing w:line="560" w:lineRule="exact"/>
        <w:ind w:firstLine="61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项目的绩效目标实现程度、项目预算资金拨款到位情况及预算执行情况，进行绩效监控，提高预算执行效力和项目资金使用效率。对偏离绩效目标项目和预期无效项目及时采取措施予以纠正。继续开展成本预算绩效分析，充分利用成本绩效分析形成的成果，强化支出标准对预算核定的约束作用。真正实现预算编制有目标、执行过程有监控、预算完成有评价，不断强化绩效理念并逐步融入预算编制、执行、公开全过程，将降成本、提效益的理念贯穿于各项工作当中。</w:t>
      </w:r>
    </w:p>
    <w:p>
      <w:pPr>
        <w:pStyle w:val="3"/>
        <w:shd w:val="clear" w:color="auto" w:fill="FFFFFF"/>
        <w:ind w:firstLine="643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、评价结论</w:t>
      </w:r>
    </w:p>
    <w:p>
      <w:pPr>
        <w:pStyle w:val="3"/>
        <w:shd w:val="clear" w:color="auto" w:fill="FFFFFF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根据部门整体支出绩效评价指标进行评价，逐项打分，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邵阳市大祥区财政局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年度部门整体支出绩效评价等级为“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</w:rPr>
        <w:t>优秀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”。</w:t>
      </w:r>
    </w:p>
    <w:p>
      <w:pPr>
        <w:rPr>
          <w:rFonts w:hint="eastAsia" w:ascii="华文中宋" w:hAnsi="华文中宋" w:eastAsia="华文中宋"/>
          <w:sz w:val="36"/>
          <w:szCs w:val="36"/>
        </w:rPr>
      </w:pPr>
    </w:p>
    <w:sectPr>
      <w:pgSz w:w="11906" w:h="16838"/>
      <w:pgMar w:top="2268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BF8D2"/>
    <w:multiLevelType w:val="singleLevel"/>
    <w:tmpl w:val="D1ABF8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1B250F"/>
    <w:multiLevelType w:val="singleLevel"/>
    <w:tmpl w:val="FB1B250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3"/>
    <w:multiLevelType w:val="singleLevel"/>
    <w:tmpl w:val="00000003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E1008"/>
    <w:rsid w:val="3EAB0813"/>
    <w:rsid w:val="3FDDFDCC"/>
    <w:rsid w:val="5DD36901"/>
    <w:rsid w:val="9CF3AE4C"/>
    <w:rsid w:val="A5ADB9C2"/>
    <w:rsid w:val="BBEFCCE0"/>
    <w:rsid w:val="C9ED06A9"/>
    <w:rsid w:val="F7FD19F5"/>
    <w:rsid w:val="FB6DC45A"/>
    <w:rsid w:val="FF2D295E"/>
    <w:rsid w:val="FFFD9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dx007</cp:lastModifiedBy>
  <dcterms:modified xsi:type="dcterms:W3CDTF">2025-11-11T17:08:13Z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